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39" w:type="dxa"/>
        <w:tblInd w:w="-993" w:type="dxa"/>
        <w:tblLook w:val="04A0" w:firstRow="1" w:lastRow="0" w:firstColumn="1" w:lastColumn="0" w:noHBand="0" w:noVBand="1"/>
      </w:tblPr>
      <w:tblGrid>
        <w:gridCol w:w="626"/>
        <w:gridCol w:w="545"/>
        <w:gridCol w:w="804"/>
        <w:gridCol w:w="7651"/>
        <w:gridCol w:w="713"/>
        <w:gridCol w:w="600"/>
      </w:tblGrid>
      <w:tr w:rsidR="00F03469" w:rsidRPr="00021670" w:rsidTr="00A64112">
        <w:trPr>
          <w:cantSplit/>
          <w:trHeight w:val="165"/>
        </w:trPr>
        <w:tc>
          <w:tcPr>
            <w:tcW w:w="1975" w:type="dxa"/>
            <w:gridSpan w:val="3"/>
            <w:tcBorders>
              <w:top w:val="single" w:sz="8" w:space="0" w:color="F7EFFF"/>
              <w:left w:val="single" w:sz="8" w:space="0" w:color="F7EFFF"/>
              <w:bottom w:val="single" w:sz="8" w:space="0" w:color="F7EFFF"/>
              <w:right w:val="single" w:sz="8" w:space="0" w:color="F7EFFF"/>
            </w:tcBorders>
            <w:shd w:val="clear" w:color="auto" w:fill="660066"/>
            <w:vAlign w:val="center"/>
          </w:tcPr>
          <w:p w:rsidR="00F03469" w:rsidRPr="00BE492C" w:rsidRDefault="00F03469" w:rsidP="00A64112">
            <w:pPr>
              <w:spacing w:line="312" w:lineRule="auto"/>
              <w:jc w:val="right"/>
              <w:rPr>
                <w:rFonts w:ascii="Arial" w:hAnsi="Arial" w:cs="Arial"/>
                <w:b/>
                <w:bCs/>
                <w:color w:val="FFFFFF" w:themeColor="background1"/>
                <w:sz w:val="18"/>
                <w:szCs w:val="18"/>
              </w:rPr>
            </w:pPr>
            <w:bookmarkStart w:id="0" w:name="_GoBack"/>
            <w:r w:rsidRPr="00BE492C">
              <w:rPr>
                <w:rFonts w:ascii="Arial" w:hAnsi="Arial" w:cs="Arial"/>
                <w:b/>
                <w:bCs/>
                <w:color w:val="FFFFFF" w:themeColor="background1"/>
                <w:sz w:val="18"/>
                <w:szCs w:val="18"/>
              </w:rPr>
              <w:t>Órgano Jurisdiccional:</w:t>
            </w:r>
          </w:p>
        </w:tc>
        <w:tc>
          <w:tcPr>
            <w:tcW w:w="8964" w:type="dxa"/>
            <w:gridSpan w:val="3"/>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243CAB" w:rsidRDefault="00F03469" w:rsidP="00A64112">
            <w:pPr>
              <w:spacing w:line="312" w:lineRule="auto"/>
              <w:rPr>
                <w:rFonts w:ascii="Arial" w:hAnsi="Arial" w:cs="Arial"/>
                <w:color w:val="000000" w:themeColor="text1"/>
                <w:sz w:val="20"/>
                <w:szCs w:val="20"/>
              </w:rPr>
            </w:pPr>
            <w:r>
              <w:rPr>
                <w:rFonts w:ascii="Arial" w:hAnsi="Arial" w:cs="Arial"/>
                <w:color w:val="000000" w:themeColor="text1"/>
                <w:sz w:val="20"/>
                <w:szCs w:val="20"/>
              </w:rPr>
              <w:t>Tribunal Electoral de Tlaxcala</w:t>
            </w:r>
          </w:p>
        </w:tc>
      </w:tr>
      <w:bookmarkEnd w:id="0"/>
      <w:tr w:rsidR="00F03469" w:rsidRPr="00021670" w:rsidTr="00A64112">
        <w:trPr>
          <w:cantSplit/>
          <w:trHeight w:val="165"/>
        </w:trPr>
        <w:tc>
          <w:tcPr>
            <w:tcW w:w="1975" w:type="dxa"/>
            <w:gridSpan w:val="3"/>
            <w:tcBorders>
              <w:top w:val="single" w:sz="8" w:space="0" w:color="F7EFFF"/>
              <w:left w:val="single" w:sz="8" w:space="0" w:color="F7EFFF"/>
              <w:bottom w:val="single" w:sz="8" w:space="0" w:color="F7EFFF"/>
              <w:right w:val="single" w:sz="8" w:space="0" w:color="F7EFFF"/>
            </w:tcBorders>
            <w:shd w:val="clear" w:color="auto" w:fill="660066"/>
            <w:vAlign w:val="center"/>
          </w:tcPr>
          <w:p w:rsidR="00F03469" w:rsidRPr="00BE492C" w:rsidRDefault="00F03469" w:rsidP="00A64112">
            <w:pPr>
              <w:spacing w:line="312" w:lineRule="auto"/>
              <w:jc w:val="right"/>
              <w:rPr>
                <w:rFonts w:ascii="Arial" w:hAnsi="Arial" w:cs="Arial"/>
                <w:b/>
                <w:bCs/>
                <w:color w:val="FFFFFF" w:themeColor="background1"/>
                <w:sz w:val="18"/>
                <w:szCs w:val="18"/>
              </w:rPr>
            </w:pPr>
            <w:r>
              <w:rPr>
                <w:rFonts w:ascii="Arial" w:hAnsi="Arial" w:cs="Arial"/>
                <w:b/>
                <w:bCs/>
                <w:color w:val="FFFFFF" w:themeColor="background1"/>
                <w:sz w:val="18"/>
                <w:szCs w:val="18"/>
              </w:rPr>
              <w:t>Resolución</w:t>
            </w:r>
            <w:r w:rsidRPr="00BE492C">
              <w:rPr>
                <w:rFonts w:ascii="Arial" w:hAnsi="Arial" w:cs="Arial"/>
                <w:b/>
                <w:bCs/>
                <w:color w:val="FFFFFF" w:themeColor="background1"/>
                <w:sz w:val="18"/>
                <w:szCs w:val="18"/>
              </w:rPr>
              <w:t>:</w:t>
            </w:r>
          </w:p>
        </w:tc>
        <w:tc>
          <w:tcPr>
            <w:tcW w:w="8964" w:type="dxa"/>
            <w:gridSpan w:val="3"/>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243CAB" w:rsidRDefault="00F03469" w:rsidP="00A64112">
            <w:pPr>
              <w:spacing w:line="312" w:lineRule="auto"/>
              <w:rPr>
                <w:rFonts w:ascii="Arial" w:hAnsi="Arial" w:cs="Arial"/>
                <w:color w:val="000000" w:themeColor="text1"/>
                <w:sz w:val="20"/>
                <w:szCs w:val="20"/>
              </w:rPr>
            </w:pPr>
            <w:r>
              <w:rPr>
                <w:rFonts w:ascii="Arial" w:hAnsi="Arial" w:cs="Arial"/>
                <w:color w:val="000000" w:themeColor="text1"/>
                <w:sz w:val="20"/>
                <w:szCs w:val="20"/>
              </w:rPr>
              <w:t>TET-JDC-08/2023</w:t>
            </w:r>
          </w:p>
        </w:tc>
      </w:tr>
      <w:tr w:rsidR="00F03469" w:rsidRPr="00021670" w:rsidTr="00A64112">
        <w:trPr>
          <w:cantSplit/>
          <w:trHeight w:val="165"/>
        </w:trPr>
        <w:tc>
          <w:tcPr>
            <w:tcW w:w="1975" w:type="dxa"/>
            <w:gridSpan w:val="3"/>
            <w:tcBorders>
              <w:top w:val="single" w:sz="8" w:space="0" w:color="F7EFFF"/>
              <w:left w:val="single" w:sz="8" w:space="0" w:color="F7EFFF"/>
              <w:bottom w:val="single" w:sz="8" w:space="0" w:color="F7EFFF"/>
              <w:right w:val="single" w:sz="8" w:space="0" w:color="F7EFFF"/>
            </w:tcBorders>
            <w:shd w:val="clear" w:color="auto" w:fill="660066"/>
            <w:vAlign w:val="center"/>
          </w:tcPr>
          <w:p w:rsidR="00F03469" w:rsidRPr="00BE492C" w:rsidRDefault="00F03469" w:rsidP="00A64112">
            <w:pPr>
              <w:spacing w:line="312" w:lineRule="auto"/>
              <w:jc w:val="right"/>
              <w:rPr>
                <w:rFonts w:ascii="Arial" w:hAnsi="Arial" w:cs="Arial"/>
                <w:b/>
                <w:bCs/>
                <w:color w:val="FFFFFF" w:themeColor="background1"/>
                <w:sz w:val="18"/>
                <w:szCs w:val="18"/>
              </w:rPr>
            </w:pPr>
            <w:r w:rsidRPr="00BE492C">
              <w:rPr>
                <w:rFonts w:ascii="Arial" w:hAnsi="Arial" w:cs="Arial"/>
                <w:b/>
                <w:bCs/>
                <w:color w:val="FFFFFF" w:themeColor="background1"/>
                <w:sz w:val="18"/>
                <w:szCs w:val="18"/>
              </w:rPr>
              <w:t>Link:</w:t>
            </w:r>
          </w:p>
        </w:tc>
        <w:tc>
          <w:tcPr>
            <w:tcW w:w="8964" w:type="dxa"/>
            <w:gridSpan w:val="3"/>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243CAB" w:rsidRDefault="009E399C" w:rsidP="00A64112">
            <w:pPr>
              <w:spacing w:line="312" w:lineRule="auto"/>
              <w:rPr>
                <w:rFonts w:ascii="Arial" w:hAnsi="Arial" w:cs="Arial"/>
                <w:color w:val="000000" w:themeColor="text1"/>
                <w:sz w:val="20"/>
                <w:szCs w:val="20"/>
              </w:rPr>
            </w:pPr>
            <w:hyperlink r:id="rId6" w:tgtFrame="_blank" w:history="1">
              <w:r w:rsidR="00F03469">
                <w:rPr>
                  <w:rStyle w:val="Hipervnculo"/>
                  <w:rFonts w:ascii="Arial" w:hAnsi="Arial" w:cs="Arial"/>
                  <w:color w:val="3366FF"/>
                  <w:shd w:val="clear" w:color="auto" w:fill="FFFFFF"/>
                </w:rPr>
                <w:t>https://tetlax.org.mx/wp-content/uploads/2023/05/Sentencia-TET-JDC-008-2023.pdf</w:t>
              </w:r>
            </w:hyperlink>
          </w:p>
        </w:tc>
      </w:tr>
      <w:tr w:rsidR="00F03469" w:rsidRPr="00021670" w:rsidTr="00A64112">
        <w:trPr>
          <w:cantSplit/>
          <w:trHeight w:val="502"/>
        </w:trPr>
        <w:tc>
          <w:tcPr>
            <w:tcW w:w="1975" w:type="dxa"/>
            <w:gridSpan w:val="3"/>
            <w:tcBorders>
              <w:top w:val="single" w:sz="8" w:space="0" w:color="F7EFFF"/>
              <w:left w:val="single" w:sz="8" w:space="0" w:color="F7EFFF"/>
              <w:bottom w:val="single" w:sz="8" w:space="0" w:color="F7EFFF"/>
              <w:right w:val="single" w:sz="8" w:space="0" w:color="F7EFFF"/>
            </w:tcBorders>
            <w:shd w:val="clear" w:color="auto" w:fill="660066"/>
            <w:vAlign w:val="center"/>
          </w:tcPr>
          <w:p w:rsidR="00F03469" w:rsidRPr="00BE492C" w:rsidRDefault="00F03469" w:rsidP="00A64112">
            <w:pPr>
              <w:spacing w:line="312" w:lineRule="auto"/>
              <w:jc w:val="right"/>
              <w:rPr>
                <w:rFonts w:ascii="Arial" w:hAnsi="Arial" w:cs="Arial"/>
                <w:b/>
                <w:bCs/>
                <w:color w:val="FFFFFF" w:themeColor="background1"/>
                <w:sz w:val="18"/>
                <w:szCs w:val="18"/>
              </w:rPr>
            </w:pPr>
            <w:r w:rsidRPr="00BE492C">
              <w:rPr>
                <w:rFonts w:ascii="Arial" w:hAnsi="Arial" w:cs="Arial"/>
                <w:b/>
                <w:bCs/>
                <w:color w:val="FFFFFF" w:themeColor="background1"/>
                <w:sz w:val="18"/>
                <w:szCs w:val="18"/>
              </w:rPr>
              <w:t>Observaciones:</w:t>
            </w:r>
          </w:p>
        </w:tc>
        <w:tc>
          <w:tcPr>
            <w:tcW w:w="8964" w:type="dxa"/>
            <w:gridSpan w:val="3"/>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Default="00F03469" w:rsidP="00A64112">
            <w:pPr>
              <w:spacing w:line="312" w:lineRule="auto"/>
              <w:rPr>
                <w:rFonts w:ascii="Arial" w:hAnsi="Arial" w:cs="Arial"/>
                <w:color w:val="000000" w:themeColor="text1"/>
                <w:sz w:val="20"/>
                <w:szCs w:val="20"/>
              </w:rPr>
            </w:pPr>
            <w:r>
              <w:rPr>
                <w:rFonts w:ascii="Arial" w:hAnsi="Arial" w:cs="Arial"/>
                <w:color w:val="000000" w:themeColor="text1"/>
                <w:sz w:val="20"/>
                <w:szCs w:val="20"/>
              </w:rPr>
              <w:t>La Cuarta Regidora del Municipio de San Lucas Tecopilco, Tlax., señalo la omisión del pago de remuneraciones, agregando que ésta se había realizado por el hecho de ser mujer. Conductas que fueron atribuidas al Presidente y Tesorero ambos del mismo Municipio.</w:t>
            </w:r>
          </w:p>
          <w:p w:rsidR="00F03469" w:rsidRPr="00066471" w:rsidRDefault="00F03469" w:rsidP="00A64112">
            <w:pPr>
              <w:spacing w:line="312" w:lineRule="auto"/>
              <w:rPr>
                <w:rFonts w:ascii="Arial" w:hAnsi="Arial" w:cs="Arial"/>
                <w:color w:val="000000" w:themeColor="text1"/>
                <w:sz w:val="20"/>
                <w:szCs w:val="20"/>
              </w:rPr>
            </w:pPr>
            <w:r w:rsidRPr="00066471">
              <w:rPr>
                <w:rFonts w:ascii="Arial" w:hAnsi="Arial" w:cs="Arial"/>
                <w:color w:val="000000" w:themeColor="text1"/>
                <w:sz w:val="20"/>
                <w:szCs w:val="20"/>
              </w:rPr>
              <w:t>Se tuvo por acreditado que tal y como lo señalo la actora existió una omisión de pago, de remuneraciones por tanto se ordenó</w:t>
            </w:r>
            <w:r>
              <w:rPr>
                <w:rFonts w:ascii="Arial" w:hAnsi="Arial" w:cs="Arial"/>
                <w:color w:val="000000" w:themeColor="text1"/>
                <w:sz w:val="20"/>
                <w:szCs w:val="20"/>
              </w:rPr>
              <w:t xml:space="preserve"> la restitución del derecho polí</w:t>
            </w:r>
            <w:r w:rsidRPr="00066471">
              <w:rPr>
                <w:rFonts w:ascii="Arial" w:hAnsi="Arial" w:cs="Arial"/>
                <w:color w:val="000000" w:themeColor="text1"/>
                <w:sz w:val="20"/>
                <w:szCs w:val="20"/>
              </w:rPr>
              <w:t>tico-electoral transgredido.</w:t>
            </w:r>
          </w:p>
          <w:p w:rsidR="00F03469" w:rsidRPr="00066471" w:rsidRDefault="00F03469" w:rsidP="00A64112">
            <w:pPr>
              <w:spacing w:line="312" w:lineRule="auto"/>
              <w:rPr>
                <w:rFonts w:ascii="Arial" w:hAnsi="Arial" w:cs="Arial"/>
                <w:color w:val="000000" w:themeColor="text1"/>
                <w:sz w:val="20"/>
                <w:szCs w:val="20"/>
              </w:rPr>
            </w:pPr>
            <w:r w:rsidRPr="00066471">
              <w:rPr>
                <w:rFonts w:ascii="Arial" w:hAnsi="Arial" w:cs="Arial"/>
                <w:color w:val="000000" w:themeColor="text1"/>
                <w:sz w:val="20"/>
                <w:szCs w:val="20"/>
              </w:rPr>
              <w:t>No obstante lo anterior de la misma manera se tuvo por acreditado que la realización de ese acto omisivo no fue por el hecho de ser mujer, por tanto  no se pudo tener por acreditada la VPRG.</w:t>
            </w:r>
          </w:p>
        </w:tc>
      </w:tr>
      <w:tr w:rsidR="00F03469" w:rsidRPr="00021670" w:rsidTr="00A64112">
        <w:trPr>
          <w:cantSplit/>
          <w:trHeight w:val="198"/>
        </w:trPr>
        <w:tc>
          <w:tcPr>
            <w:tcW w:w="10939" w:type="dxa"/>
            <w:gridSpan w:val="6"/>
            <w:tcBorders>
              <w:top w:val="single" w:sz="8" w:space="0" w:color="F7EFFF"/>
              <w:left w:val="nil"/>
              <w:bottom w:val="nil"/>
              <w:right w:val="nil"/>
            </w:tcBorders>
            <w:shd w:val="clear" w:color="auto" w:fill="auto"/>
            <w:vAlign w:val="center"/>
          </w:tcPr>
          <w:p w:rsidR="00F03469" w:rsidRPr="00BE492C" w:rsidRDefault="00F03469" w:rsidP="00A64112">
            <w:pPr>
              <w:rPr>
                <w:rFonts w:ascii="Arial Black" w:hAnsi="Arial Black" w:cs="Arial"/>
                <w:color w:val="660066"/>
                <w:sz w:val="4"/>
                <w:szCs w:val="4"/>
              </w:rPr>
            </w:pPr>
          </w:p>
        </w:tc>
      </w:tr>
      <w:tr w:rsidR="00F03469" w:rsidRPr="00021670" w:rsidTr="00A64112">
        <w:trPr>
          <w:cantSplit/>
          <w:trHeight w:val="165"/>
        </w:trPr>
        <w:tc>
          <w:tcPr>
            <w:tcW w:w="9626" w:type="dxa"/>
            <w:gridSpan w:val="4"/>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4D2F4D" w:rsidRDefault="00F03469" w:rsidP="00A64112">
            <w:pPr>
              <w:spacing w:line="312" w:lineRule="auto"/>
              <w:rPr>
                <w:rFonts w:ascii="Arial" w:hAnsi="Arial" w:cs="Arial"/>
                <w:b/>
                <w:bCs/>
                <w:i/>
                <w:iCs/>
              </w:rPr>
            </w:pPr>
            <w:r w:rsidRPr="00BE492C">
              <w:rPr>
                <w:rFonts w:ascii="Arial" w:hAnsi="Arial" w:cs="Arial"/>
                <w:b/>
                <w:bCs/>
                <w:i/>
                <w:iCs/>
                <w:color w:val="FFFFFF" w:themeColor="background1"/>
                <w:sz w:val="20"/>
                <w:szCs w:val="20"/>
              </w:rPr>
              <w:t xml:space="preserve">Para identificar si una </w:t>
            </w:r>
            <w:r>
              <w:rPr>
                <w:rFonts w:ascii="Arial" w:hAnsi="Arial" w:cs="Arial"/>
                <w:b/>
                <w:bCs/>
                <w:i/>
                <w:iCs/>
                <w:color w:val="FFFFFF" w:themeColor="background1"/>
                <w:sz w:val="20"/>
                <w:szCs w:val="20"/>
              </w:rPr>
              <w:t>resolución</w:t>
            </w:r>
            <w:r w:rsidRPr="00BE492C">
              <w:rPr>
                <w:rFonts w:ascii="Arial" w:hAnsi="Arial" w:cs="Arial"/>
                <w:b/>
                <w:bCs/>
                <w:i/>
                <w:iCs/>
                <w:color w:val="FFFFFF" w:themeColor="background1"/>
                <w:sz w:val="20"/>
                <w:szCs w:val="20"/>
              </w:rPr>
              <w:t xml:space="preserve"> cumple con los indicadores, se deberá cuestionar:</w:t>
            </w:r>
          </w:p>
        </w:tc>
        <w:tc>
          <w:tcPr>
            <w:tcW w:w="131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tcPr>
          <w:p w:rsidR="00F03469" w:rsidRPr="00414953" w:rsidRDefault="00F03469" w:rsidP="00A64112">
            <w:pPr>
              <w:spacing w:line="312" w:lineRule="auto"/>
              <w:jc w:val="center"/>
              <w:rPr>
                <w:rFonts w:ascii="Arial Black" w:hAnsi="Arial Black" w:cs="Arial"/>
                <w:color w:val="660066"/>
                <w:sz w:val="16"/>
                <w:szCs w:val="16"/>
              </w:rPr>
            </w:pPr>
            <w:r w:rsidRPr="006A6879">
              <w:rPr>
                <w:rFonts w:ascii="Arial Black" w:hAnsi="Arial Black" w:cs="Arial"/>
                <w:color w:val="FFFFFF" w:themeColor="background1"/>
                <w:sz w:val="16"/>
                <w:szCs w:val="16"/>
              </w:rPr>
              <w:t>Cumple</w:t>
            </w:r>
          </w:p>
        </w:tc>
      </w:tr>
      <w:tr w:rsidR="00F03469" w:rsidRPr="00021670" w:rsidTr="00A64112">
        <w:trPr>
          <w:cantSplit/>
          <w:trHeight w:val="165"/>
        </w:trPr>
        <w:tc>
          <w:tcPr>
            <w:tcW w:w="9626" w:type="dxa"/>
            <w:gridSpan w:val="4"/>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4D2F4D" w:rsidRDefault="00F03469" w:rsidP="00A64112">
            <w:pPr>
              <w:spacing w:line="312" w:lineRule="auto"/>
              <w:rPr>
                <w:rFonts w:ascii="Arial" w:hAnsi="Arial" w:cs="Arial"/>
                <w:b/>
                <w:bCs/>
                <w:i/>
                <w:iCs/>
                <w:sz w:val="20"/>
                <w:szCs w:val="20"/>
              </w:rPr>
            </w:pPr>
          </w:p>
        </w:tc>
        <w:tc>
          <w:tcPr>
            <w:tcW w:w="713" w:type="dxa"/>
            <w:tcBorders>
              <w:top w:val="single" w:sz="8" w:space="0" w:color="F7EFFF"/>
              <w:left w:val="single" w:sz="8" w:space="0" w:color="FFFFFF" w:themeColor="background1"/>
              <w:bottom w:val="single" w:sz="8" w:space="0" w:color="F7EFFF"/>
              <w:right w:val="single" w:sz="8" w:space="0" w:color="FFFFFF" w:themeColor="background1"/>
            </w:tcBorders>
            <w:shd w:val="clear" w:color="auto" w:fill="660066"/>
          </w:tcPr>
          <w:p w:rsidR="00F03469" w:rsidRPr="006A6879" w:rsidRDefault="00F03469" w:rsidP="00A64112">
            <w:pPr>
              <w:spacing w:line="312" w:lineRule="auto"/>
              <w:jc w:val="center"/>
              <w:rPr>
                <w:rFonts w:ascii="Arial Black" w:hAnsi="Arial Black" w:cs="Arial"/>
                <w:color w:val="FFFFFF" w:themeColor="background1"/>
                <w:sz w:val="16"/>
                <w:szCs w:val="16"/>
              </w:rPr>
            </w:pPr>
            <w:r w:rsidRPr="006A6879">
              <w:rPr>
                <w:rFonts w:ascii="Arial Black" w:hAnsi="Arial Black" w:cs="Arial"/>
                <w:color w:val="FFFFFF" w:themeColor="background1"/>
                <w:sz w:val="16"/>
                <w:szCs w:val="16"/>
              </w:rPr>
              <w:t>Sí</w:t>
            </w:r>
          </w:p>
        </w:tc>
        <w:tc>
          <w:tcPr>
            <w:tcW w:w="6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tcPr>
          <w:p w:rsidR="00F03469" w:rsidRPr="006A6879" w:rsidRDefault="00F03469" w:rsidP="00A64112">
            <w:pPr>
              <w:spacing w:line="312" w:lineRule="auto"/>
              <w:jc w:val="center"/>
              <w:rPr>
                <w:rFonts w:ascii="Arial Black" w:hAnsi="Arial Black" w:cs="Arial"/>
                <w:color w:val="FFFFFF" w:themeColor="background1"/>
                <w:sz w:val="16"/>
                <w:szCs w:val="16"/>
              </w:rPr>
            </w:pPr>
            <w:r w:rsidRPr="006A6879">
              <w:rPr>
                <w:rFonts w:ascii="Arial Black" w:hAnsi="Arial Black" w:cs="Arial"/>
                <w:color w:val="FFFFFF" w:themeColor="background1"/>
                <w:sz w:val="16"/>
                <w:szCs w:val="16"/>
              </w:rPr>
              <w:t>No</w:t>
            </w:r>
          </w:p>
        </w:tc>
      </w:tr>
      <w:tr w:rsidR="00F03469" w:rsidRPr="00021670" w:rsidTr="00A64112">
        <w:trPr>
          <w:trHeight w:val="949"/>
        </w:trPr>
        <w:tc>
          <w:tcPr>
            <w:tcW w:w="626" w:type="dxa"/>
            <w:vMerge w:val="restart"/>
            <w:tcBorders>
              <w:top w:val="single" w:sz="8" w:space="0" w:color="FFFFFF" w:themeColor="background1"/>
              <w:left w:val="nil"/>
              <w:bottom w:val="nil"/>
              <w:right w:val="single" w:sz="8" w:space="0" w:color="FFFFFF" w:themeColor="background1"/>
            </w:tcBorders>
            <w:shd w:val="clear" w:color="auto" w:fill="F2F2F2" w:themeFill="background1" w:themeFillShade="F2"/>
            <w:textDirection w:val="btLr"/>
            <w:vAlign w:val="center"/>
          </w:tcPr>
          <w:p w:rsidR="00F03469" w:rsidRPr="00936C02" w:rsidRDefault="00F03469" w:rsidP="00A64112">
            <w:pPr>
              <w:ind w:left="113" w:right="113"/>
              <w:jc w:val="center"/>
              <w:rPr>
                <w:rFonts w:ascii="Arial Black" w:hAnsi="Arial Black" w:cs="Arial"/>
                <w:color w:val="660066"/>
                <w:sz w:val="16"/>
                <w:szCs w:val="16"/>
              </w:rPr>
            </w:pPr>
            <w:r w:rsidRPr="00936C02">
              <w:rPr>
                <w:rFonts w:ascii="Arial Black" w:hAnsi="Arial Black" w:cs="Arial"/>
                <w:color w:val="660066"/>
                <w:sz w:val="16"/>
                <w:szCs w:val="16"/>
              </w:rPr>
              <w:t>CÉDULA INTEGRAL PARA EL OTORGAMIENTO DE LA MEDALLA MARÍA CRISTINA SALMOTRÁN DE TAMAYO</w:t>
            </w: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¿En la resolución se identifica si existen situaciones de poder / contextos de desigualdad estructural / contextos de violencia? Y, de ser el caso, ¿ordena de oficio las pruebas necesarias?</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FFFFF" w:themeColor="background1"/>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c>
          <w:tcPr>
            <w:tcW w:w="626" w:type="dxa"/>
            <w:vMerge/>
            <w:tcBorders>
              <w:top w:val="nil"/>
              <w:left w:val="nil"/>
              <w:bottom w:val="nil"/>
              <w:right w:val="single" w:sz="8" w:space="0" w:color="FFFFFF" w:themeColor="background1"/>
            </w:tcBorders>
            <w:shd w:val="clear" w:color="auto" w:fill="F2F2F2" w:themeFill="background1" w:themeFillShade="F2"/>
            <w:vAlign w:val="center"/>
          </w:tcPr>
          <w:p w:rsidR="00F03469" w:rsidRPr="00936C02" w:rsidRDefault="00F0346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2</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¿Desecha cualquier estereotipo / prejuicio de género?; ¿Aprecia los hechos y las pruebas con sensibilidad?</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rPr>
          <w:trHeight w:val="477"/>
        </w:trPr>
        <w:tc>
          <w:tcPr>
            <w:tcW w:w="626" w:type="dxa"/>
            <w:vMerge/>
            <w:tcBorders>
              <w:top w:val="nil"/>
              <w:left w:val="nil"/>
              <w:bottom w:val="nil"/>
              <w:right w:val="single" w:sz="8" w:space="0" w:color="FFFFFF" w:themeColor="background1"/>
            </w:tcBorders>
            <w:shd w:val="clear" w:color="auto" w:fill="F2F2F2" w:themeFill="background1" w:themeFillShade="F2"/>
            <w:vAlign w:val="center"/>
          </w:tcPr>
          <w:p w:rsidR="00F03469" w:rsidRPr="00936C02" w:rsidRDefault="00F0346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3</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¿Cumple con la obligación de apreciar los hechos y las pruebas con sensibilidad sobre las cuestiones de género?</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c>
          <w:tcPr>
            <w:tcW w:w="626" w:type="dxa"/>
            <w:vMerge/>
            <w:tcBorders>
              <w:top w:val="nil"/>
              <w:left w:val="nil"/>
              <w:bottom w:val="nil"/>
              <w:right w:val="single" w:sz="8" w:space="0" w:color="FFFFFF" w:themeColor="background1"/>
            </w:tcBorders>
            <w:shd w:val="clear" w:color="auto" w:fill="F2F2F2" w:themeFill="background1" w:themeFillShade="F2"/>
            <w:vAlign w:val="center"/>
          </w:tcPr>
          <w:p w:rsidR="00F03469" w:rsidRPr="00936C02" w:rsidRDefault="00F0346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4</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¿Aplica estándares de derechos humanos?</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c>
          <w:tcPr>
            <w:tcW w:w="626" w:type="dxa"/>
            <w:vMerge/>
            <w:tcBorders>
              <w:top w:val="nil"/>
              <w:left w:val="nil"/>
              <w:bottom w:val="nil"/>
              <w:right w:val="single" w:sz="8" w:space="0" w:color="FFFFFF" w:themeColor="background1"/>
            </w:tcBorders>
            <w:shd w:val="clear" w:color="auto" w:fill="F2F2F2" w:themeFill="background1" w:themeFillShade="F2"/>
            <w:vAlign w:val="center"/>
          </w:tcPr>
          <w:p w:rsidR="00F03469" w:rsidRPr="00936C02" w:rsidRDefault="00F0346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5</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¿Evalúa el impacto diferenciado de la resolución y la neutralidad de la norma?</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c>
          <w:tcPr>
            <w:tcW w:w="626" w:type="dxa"/>
            <w:vMerge/>
            <w:tcBorders>
              <w:top w:val="nil"/>
              <w:left w:val="nil"/>
              <w:bottom w:val="nil"/>
              <w:right w:val="single" w:sz="8" w:space="0" w:color="FFFFFF" w:themeColor="background1"/>
            </w:tcBorders>
            <w:shd w:val="clear" w:color="auto" w:fill="F2F2F2" w:themeFill="background1" w:themeFillShade="F2"/>
            <w:vAlign w:val="center"/>
          </w:tcPr>
          <w:p w:rsidR="00F03469" w:rsidRPr="00936C02" w:rsidRDefault="00F0346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6</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 xml:space="preserve">¿La resolución utiliza lenguaje incluyente y no </w:t>
            </w:r>
            <w:proofErr w:type="spellStart"/>
            <w:r w:rsidRPr="00D60F69">
              <w:rPr>
                <w:rFonts w:ascii="Arial" w:hAnsi="Arial" w:cs="Arial"/>
                <w:sz w:val="20"/>
                <w:szCs w:val="20"/>
              </w:rPr>
              <w:t>revictimizante</w:t>
            </w:r>
            <w:proofErr w:type="spellEnd"/>
            <w:r w:rsidRPr="00D60F69">
              <w:rPr>
                <w:rFonts w:ascii="Arial" w:hAnsi="Arial" w:cs="Arial"/>
                <w:sz w:val="20"/>
                <w:szCs w:val="20"/>
              </w:rPr>
              <w:t xml:space="preserve"> y/o está redactada en formato de lectura fácil?</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c>
          <w:tcPr>
            <w:tcW w:w="626" w:type="dxa"/>
            <w:vMerge/>
            <w:tcBorders>
              <w:top w:val="nil"/>
              <w:left w:val="nil"/>
              <w:bottom w:val="nil"/>
              <w:right w:val="single" w:sz="8" w:space="0" w:color="FFFFFF" w:themeColor="background1"/>
            </w:tcBorders>
            <w:shd w:val="clear" w:color="auto" w:fill="F2F2F2" w:themeFill="background1" w:themeFillShade="F2"/>
            <w:vAlign w:val="center"/>
          </w:tcPr>
          <w:p w:rsidR="00F03469" w:rsidRPr="00936C02" w:rsidRDefault="00F0346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7</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¿Identifica correctamente el uso adecuado o inadecuado de los elementos de la metodología para juzgar con perspectiva de género?</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c>
          <w:tcPr>
            <w:tcW w:w="626" w:type="dxa"/>
            <w:vMerge/>
            <w:tcBorders>
              <w:top w:val="nil"/>
              <w:left w:val="nil"/>
              <w:bottom w:val="nil"/>
              <w:right w:val="single" w:sz="8" w:space="0" w:color="FFFFFF" w:themeColor="background1"/>
            </w:tcBorders>
            <w:shd w:val="clear" w:color="auto" w:fill="F2F2F2" w:themeFill="background1" w:themeFillShade="F2"/>
            <w:vAlign w:val="center"/>
          </w:tcPr>
          <w:p w:rsidR="00F03469" w:rsidRPr="00936C02" w:rsidRDefault="00F0346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8</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¿Su reflexión es propositiva y deja ver la comprensión de la metodología para juzgar con perspectiva de género?</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rPr>
          <w:trHeight w:val="282"/>
        </w:trPr>
        <w:tc>
          <w:tcPr>
            <w:tcW w:w="626" w:type="dxa"/>
            <w:vMerge/>
            <w:tcBorders>
              <w:top w:val="nil"/>
              <w:left w:val="nil"/>
              <w:bottom w:val="nil"/>
              <w:right w:val="single" w:sz="8" w:space="0" w:color="FFFFFF" w:themeColor="background1"/>
            </w:tcBorders>
            <w:shd w:val="clear" w:color="auto" w:fill="F2F2F2" w:themeFill="background1" w:themeFillShade="F2"/>
            <w:vAlign w:val="center"/>
          </w:tcPr>
          <w:p w:rsidR="00F03469" w:rsidRPr="00936C02" w:rsidRDefault="00F03469" w:rsidP="00A64112">
            <w:pPr>
              <w:jc w:val="center"/>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9</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¿La resolución analiza y se pronuncia sobre el deber de reparar o de dictar reparaciones?</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r>
      <w:tr w:rsidR="00F03469" w:rsidRPr="00021670" w:rsidTr="00A64112">
        <w:trPr>
          <w:cantSplit/>
          <w:trHeight w:val="1104"/>
        </w:trPr>
        <w:tc>
          <w:tcPr>
            <w:tcW w:w="626" w:type="dxa"/>
            <w:tcBorders>
              <w:top w:val="nil"/>
              <w:left w:val="nil"/>
              <w:bottom w:val="nil"/>
              <w:right w:val="single" w:sz="8" w:space="0" w:color="FFFFFF" w:themeColor="background1"/>
            </w:tcBorders>
            <w:shd w:val="clear" w:color="auto" w:fill="D9D9D9" w:themeFill="background1" w:themeFillShade="D9"/>
            <w:textDirection w:val="btLr"/>
            <w:vAlign w:val="center"/>
          </w:tcPr>
          <w:p w:rsidR="00F03469" w:rsidRPr="00174B3D" w:rsidRDefault="00F03469" w:rsidP="00A64112">
            <w:pPr>
              <w:ind w:left="113" w:right="113"/>
              <w:jc w:val="center"/>
              <w:rPr>
                <w:rFonts w:ascii="Arial Black" w:hAnsi="Arial Black" w:cs="Arial"/>
                <w:color w:val="660066"/>
                <w:sz w:val="12"/>
                <w:szCs w:val="12"/>
              </w:rPr>
            </w:pPr>
            <w:r w:rsidRPr="00174B3D">
              <w:rPr>
                <w:rFonts w:ascii="Arial Black" w:hAnsi="Arial Black" w:cs="Arial"/>
                <w:color w:val="660066"/>
                <w:sz w:val="12"/>
                <w:szCs w:val="12"/>
              </w:rPr>
              <w:t>PROTOCOLO SCJN</w:t>
            </w: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10</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¿Cumple con la obligación de ordenar de oficio las pruebas necesarias para visibilizar situaciones de violencia, vulnerabilidad o discriminación por razones de género, en caso de que el material probatorio no sea suficiente para aclararlas?</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rPr>
          <w:trHeight w:val="268"/>
        </w:trPr>
        <w:tc>
          <w:tcPr>
            <w:tcW w:w="626" w:type="dxa"/>
            <w:vMerge w:val="restart"/>
            <w:tcBorders>
              <w:top w:val="nil"/>
              <w:left w:val="nil"/>
              <w:bottom w:val="nil"/>
              <w:right w:val="single" w:sz="8" w:space="0" w:color="FFFFFF" w:themeColor="background1"/>
            </w:tcBorders>
            <w:shd w:val="clear" w:color="auto" w:fill="F2F2F2" w:themeFill="background1" w:themeFillShade="F2"/>
            <w:textDirection w:val="btLr"/>
            <w:vAlign w:val="center"/>
          </w:tcPr>
          <w:p w:rsidR="00F03469" w:rsidRPr="00936C02" w:rsidRDefault="00F03469" w:rsidP="00A64112">
            <w:pPr>
              <w:ind w:left="113" w:right="113"/>
              <w:jc w:val="center"/>
              <w:rPr>
                <w:rFonts w:ascii="Arial Black" w:hAnsi="Arial Black" w:cs="Arial"/>
                <w:color w:val="660066"/>
                <w:sz w:val="16"/>
                <w:szCs w:val="16"/>
              </w:rPr>
            </w:pPr>
            <w:r w:rsidRPr="00936C02">
              <w:rPr>
                <w:rFonts w:ascii="Arial Black" w:hAnsi="Arial Black" w:cs="Arial"/>
                <w:color w:val="660066"/>
                <w:sz w:val="16"/>
                <w:szCs w:val="16"/>
              </w:rPr>
              <w:t xml:space="preserve"> “NO ES JUSTICIA” EQUIS MUEJRES </w:t>
            </w: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11</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¿Se detectan situaciones de riesgo y se ordenan órdenes de protección?</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r>
      <w:tr w:rsidR="00F03469" w:rsidRPr="00021670" w:rsidTr="00A64112">
        <w:trPr>
          <w:trHeight w:val="402"/>
        </w:trPr>
        <w:tc>
          <w:tcPr>
            <w:tcW w:w="626" w:type="dxa"/>
            <w:vMerge/>
            <w:tcBorders>
              <w:top w:val="nil"/>
              <w:left w:val="nil"/>
              <w:bottom w:val="nil"/>
              <w:right w:val="single" w:sz="8" w:space="0" w:color="FFFFFF" w:themeColor="background1"/>
            </w:tcBorders>
            <w:shd w:val="clear" w:color="auto" w:fill="F2F2F2" w:themeFill="background1" w:themeFillShade="F2"/>
          </w:tcPr>
          <w:p w:rsidR="00F03469" w:rsidRPr="00936C02" w:rsidRDefault="00F03469" w:rsidP="00A64112">
            <w:pPr>
              <w:jc w:val="both"/>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12</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¿Identifica los derechos afectados?</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rPr>
          <w:trHeight w:val="408"/>
        </w:trPr>
        <w:tc>
          <w:tcPr>
            <w:tcW w:w="626" w:type="dxa"/>
            <w:vMerge/>
            <w:tcBorders>
              <w:top w:val="nil"/>
              <w:left w:val="nil"/>
              <w:bottom w:val="nil"/>
              <w:right w:val="single" w:sz="8" w:space="0" w:color="FFFFFF" w:themeColor="background1"/>
            </w:tcBorders>
            <w:shd w:val="clear" w:color="auto" w:fill="F2F2F2" w:themeFill="background1" w:themeFillShade="F2"/>
          </w:tcPr>
          <w:p w:rsidR="00F03469" w:rsidRPr="00936C02" w:rsidRDefault="00F03469" w:rsidP="00A64112">
            <w:pPr>
              <w:jc w:val="both"/>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13</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¿Ubica el derecho aplicable al caso?</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c>
          <w:tcPr>
            <w:tcW w:w="626" w:type="dxa"/>
            <w:vMerge/>
            <w:tcBorders>
              <w:top w:val="nil"/>
              <w:left w:val="nil"/>
              <w:bottom w:val="nil"/>
              <w:right w:val="single" w:sz="8" w:space="0" w:color="FFFFFF" w:themeColor="background1"/>
            </w:tcBorders>
            <w:shd w:val="clear" w:color="auto" w:fill="F2F2F2" w:themeFill="background1" w:themeFillShade="F2"/>
          </w:tcPr>
          <w:p w:rsidR="00F03469" w:rsidRPr="00936C02" w:rsidRDefault="00F03469" w:rsidP="00A64112">
            <w:pPr>
              <w:jc w:val="both"/>
              <w:rPr>
                <w:rFonts w:ascii="Arial Black" w:hAnsi="Arial Black" w:cs="Arial"/>
                <w:sz w:val="16"/>
                <w:szCs w:val="16"/>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14</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¿Cuenta con medidas de seguimiento de sentencias?</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r>
      <w:tr w:rsidR="00F03469" w:rsidRPr="00021670" w:rsidTr="00A64112">
        <w:tc>
          <w:tcPr>
            <w:tcW w:w="626" w:type="dxa"/>
            <w:vMerge w:val="restart"/>
            <w:tcBorders>
              <w:top w:val="nil"/>
              <w:left w:val="nil"/>
              <w:bottom w:val="nil"/>
              <w:right w:val="single" w:sz="8" w:space="0" w:color="FFFFFF" w:themeColor="background1"/>
            </w:tcBorders>
            <w:shd w:val="clear" w:color="auto" w:fill="D9D9D9" w:themeFill="background1" w:themeFillShade="D9"/>
            <w:textDirection w:val="btLr"/>
            <w:vAlign w:val="center"/>
          </w:tcPr>
          <w:p w:rsidR="00F03469" w:rsidRPr="00936C02" w:rsidRDefault="00F03469" w:rsidP="00A64112">
            <w:pPr>
              <w:ind w:left="113" w:right="113"/>
              <w:jc w:val="center"/>
              <w:rPr>
                <w:rFonts w:ascii="Arial Black" w:hAnsi="Arial Black" w:cs="Arial"/>
                <w:sz w:val="16"/>
                <w:szCs w:val="16"/>
              </w:rPr>
            </w:pPr>
            <w:r w:rsidRPr="00936C02">
              <w:rPr>
                <w:rFonts w:ascii="Arial Black" w:hAnsi="Arial Black" w:cs="Arial"/>
                <w:color w:val="660066"/>
                <w:sz w:val="16"/>
                <w:szCs w:val="16"/>
              </w:rPr>
              <w:lastRenderedPageBreak/>
              <w:t>CEDAW</w:t>
            </w: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15</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¿Se determinó una medida de protección efectiva de la mujer contra todo acto de discriminación?</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r>
      <w:tr w:rsidR="00F03469" w:rsidRPr="00021670" w:rsidTr="00A64112">
        <w:tc>
          <w:tcPr>
            <w:tcW w:w="626" w:type="dxa"/>
            <w:vMerge/>
            <w:tcBorders>
              <w:top w:val="nil"/>
              <w:left w:val="nil"/>
              <w:bottom w:val="nil"/>
              <w:right w:val="single" w:sz="8" w:space="0" w:color="FFFFFF" w:themeColor="background1"/>
            </w:tcBorders>
            <w:shd w:val="clear" w:color="auto" w:fill="D9D9D9" w:themeFill="background1" w:themeFillShade="D9"/>
          </w:tcPr>
          <w:p w:rsidR="00F03469" w:rsidRPr="00021670" w:rsidRDefault="00F03469" w:rsidP="00A64112">
            <w:pPr>
              <w:spacing w:line="312" w:lineRule="auto"/>
              <w:jc w:val="both"/>
              <w:rPr>
                <w:rFonts w:ascii="Arial" w:hAnsi="Arial" w:cs="Arial"/>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spacing w:line="312" w:lineRule="auto"/>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16</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¿Se reconoce la plena igualdad de la mujer con el hombre ante la Ley?</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r w:rsidR="00F03469" w:rsidRPr="00021670" w:rsidTr="00A64112">
        <w:trPr>
          <w:trHeight w:val="605"/>
        </w:trPr>
        <w:tc>
          <w:tcPr>
            <w:tcW w:w="626" w:type="dxa"/>
            <w:vMerge/>
            <w:tcBorders>
              <w:top w:val="nil"/>
              <w:left w:val="nil"/>
              <w:bottom w:val="nil"/>
              <w:right w:val="single" w:sz="8" w:space="0" w:color="FFFFFF" w:themeColor="background1"/>
            </w:tcBorders>
            <w:shd w:val="clear" w:color="auto" w:fill="D9D9D9" w:themeFill="background1" w:themeFillShade="D9"/>
          </w:tcPr>
          <w:p w:rsidR="00F03469" w:rsidRPr="00021670" w:rsidRDefault="00F03469" w:rsidP="00A64112">
            <w:pPr>
              <w:spacing w:line="312" w:lineRule="auto"/>
              <w:jc w:val="both"/>
              <w:rPr>
                <w:rFonts w:ascii="Arial" w:hAnsi="Arial" w:cs="Arial"/>
              </w:rPr>
            </w:pPr>
          </w:p>
        </w:tc>
        <w:tc>
          <w:tcPr>
            <w:tcW w:w="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660066"/>
            <w:vAlign w:val="center"/>
          </w:tcPr>
          <w:p w:rsidR="00F03469" w:rsidRPr="00D60F69" w:rsidRDefault="00F03469" w:rsidP="00A64112">
            <w:pPr>
              <w:spacing w:line="312" w:lineRule="auto"/>
              <w:jc w:val="center"/>
              <w:rPr>
                <w:rFonts w:ascii="Arial" w:hAnsi="Arial" w:cs="Arial"/>
                <w:b/>
                <w:bCs/>
                <w:color w:val="FFFFFF" w:themeColor="background1"/>
                <w:sz w:val="24"/>
                <w:szCs w:val="24"/>
              </w:rPr>
            </w:pPr>
            <w:r w:rsidRPr="00D60F69">
              <w:rPr>
                <w:rFonts w:ascii="Arial" w:hAnsi="Arial" w:cs="Arial"/>
                <w:b/>
                <w:bCs/>
                <w:color w:val="FFFFFF" w:themeColor="background1"/>
                <w:sz w:val="24"/>
                <w:szCs w:val="24"/>
              </w:rPr>
              <w:t>17</w:t>
            </w:r>
          </w:p>
        </w:tc>
        <w:tc>
          <w:tcPr>
            <w:tcW w:w="8455" w:type="dxa"/>
            <w:gridSpan w:val="2"/>
            <w:tcBorders>
              <w:top w:val="single" w:sz="8" w:space="0" w:color="FFFFFF" w:themeColor="background1"/>
              <w:left w:val="single" w:sz="8" w:space="0" w:color="FFFFFF" w:themeColor="background1"/>
              <w:bottom w:val="single" w:sz="8" w:space="0" w:color="FFFFFF" w:themeColor="background1"/>
              <w:right w:val="single" w:sz="8" w:space="0" w:color="F7EFFF"/>
            </w:tcBorders>
            <w:shd w:val="clear" w:color="auto" w:fill="FBF7FF"/>
            <w:vAlign w:val="center"/>
          </w:tcPr>
          <w:p w:rsidR="00F03469" w:rsidRPr="00D60F69" w:rsidRDefault="00F03469" w:rsidP="00A64112">
            <w:pPr>
              <w:spacing w:line="312" w:lineRule="auto"/>
              <w:rPr>
                <w:rFonts w:ascii="Arial" w:hAnsi="Arial" w:cs="Arial"/>
                <w:sz w:val="20"/>
                <w:szCs w:val="20"/>
              </w:rPr>
            </w:pPr>
            <w:r w:rsidRPr="00D60F69">
              <w:rPr>
                <w:rFonts w:ascii="Arial" w:hAnsi="Arial" w:cs="Arial"/>
                <w:sz w:val="20"/>
                <w:szCs w:val="20"/>
              </w:rPr>
              <w:t>¿Se reconoce a la mujer, en materias civiles, una capacidad jurídica idéntica a la del hombre y las mismas oportunidades para el ejercicio de esa capacidad?</w:t>
            </w:r>
          </w:p>
        </w:tc>
        <w:tc>
          <w:tcPr>
            <w:tcW w:w="713" w:type="dxa"/>
            <w:tcBorders>
              <w:top w:val="single" w:sz="8" w:space="0" w:color="F7EFFF"/>
              <w:left w:val="single" w:sz="8" w:space="0" w:color="F7EFFF"/>
              <w:bottom w:val="single" w:sz="8" w:space="0" w:color="F7EFFF"/>
              <w:right w:val="single" w:sz="8" w:space="0" w:color="F7EFFF"/>
            </w:tcBorders>
            <w:shd w:val="clear" w:color="auto" w:fill="auto"/>
            <w:vAlign w:val="center"/>
          </w:tcPr>
          <w:p w:rsidR="00F03469" w:rsidRPr="00C96CB6" w:rsidRDefault="00F03469" w:rsidP="00A64112">
            <w:pPr>
              <w:spacing w:line="312" w:lineRule="auto"/>
              <w:jc w:val="center"/>
              <w:rPr>
                <w:rFonts w:ascii="Arial" w:hAnsi="Arial" w:cs="Arial"/>
                <w:b/>
                <w:bCs/>
              </w:rPr>
            </w:pPr>
            <w:r>
              <w:rPr>
                <w:rFonts w:ascii="Arial" w:hAnsi="Arial" w:cs="Arial"/>
                <w:b/>
                <w:bCs/>
              </w:rPr>
              <w:t>X</w:t>
            </w:r>
          </w:p>
        </w:tc>
        <w:tc>
          <w:tcPr>
            <w:tcW w:w="600" w:type="dxa"/>
            <w:tcBorders>
              <w:top w:val="single" w:sz="8" w:space="0" w:color="F7EFFF"/>
              <w:left w:val="single" w:sz="8" w:space="0" w:color="F7EFFF"/>
              <w:bottom w:val="single" w:sz="8" w:space="0" w:color="F7EFFF"/>
              <w:right w:val="nil"/>
            </w:tcBorders>
            <w:shd w:val="clear" w:color="auto" w:fill="auto"/>
            <w:vAlign w:val="center"/>
          </w:tcPr>
          <w:p w:rsidR="00F03469" w:rsidRPr="00C96CB6" w:rsidRDefault="00F03469" w:rsidP="00A64112">
            <w:pPr>
              <w:spacing w:line="312" w:lineRule="auto"/>
              <w:jc w:val="center"/>
              <w:rPr>
                <w:rFonts w:ascii="Arial" w:hAnsi="Arial" w:cs="Arial"/>
                <w:b/>
                <w:bCs/>
              </w:rPr>
            </w:pPr>
          </w:p>
        </w:tc>
      </w:tr>
    </w:tbl>
    <w:p w:rsidR="003721BF" w:rsidRDefault="003721BF"/>
    <w:sectPr w:rsidR="003721BF" w:rsidSect="009E399C">
      <w:headerReference w:type="default" r:id="rId7"/>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9C" w:rsidRDefault="009E399C" w:rsidP="009E399C">
      <w:pPr>
        <w:spacing w:after="0" w:line="240" w:lineRule="auto"/>
      </w:pPr>
      <w:r>
        <w:separator/>
      </w:r>
    </w:p>
  </w:endnote>
  <w:endnote w:type="continuationSeparator" w:id="0">
    <w:p w:rsidR="009E399C" w:rsidRDefault="009E399C" w:rsidP="009E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9C" w:rsidRDefault="009E399C" w:rsidP="009E399C">
      <w:pPr>
        <w:spacing w:after="0" w:line="240" w:lineRule="auto"/>
      </w:pPr>
      <w:r>
        <w:separator/>
      </w:r>
    </w:p>
  </w:footnote>
  <w:footnote w:type="continuationSeparator" w:id="0">
    <w:p w:rsidR="009E399C" w:rsidRDefault="009E399C" w:rsidP="009E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9C" w:rsidRDefault="009E399C" w:rsidP="009E399C">
    <w:pPr>
      <w:pStyle w:val="Encabezado"/>
    </w:pPr>
    <w:r>
      <w:rPr>
        <w:noProof/>
        <w:lang w:eastAsia="es-MX"/>
      </w:rPr>
      <mc:AlternateContent>
        <mc:Choice Requires="wps">
          <w:drawing>
            <wp:anchor distT="0" distB="0" distL="114300" distR="114300" simplePos="0" relativeHeight="251659264" behindDoc="0" locked="0" layoutInCell="1" allowOverlap="1" wp14:anchorId="5860EEEA" wp14:editId="19BA7109">
              <wp:simplePos x="0" y="0"/>
              <wp:positionH relativeFrom="column">
                <wp:posOffset>1065188</wp:posOffset>
              </wp:positionH>
              <wp:positionV relativeFrom="paragraph">
                <wp:posOffset>-37598</wp:posOffset>
              </wp:positionV>
              <wp:extent cx="4972050" cy="703385"/>
              <wp:effectExtent l="0" t="0" r="0" b="1905"/>
              <wp:wrapNone/>
              <wp:docPr id="76181266" name="Cuadro de texto 4"/>
              <wp:cNvGraphicFramePr/>
              <a:graphic xmlns:a="http://schemas.openxmlformats.org/drawingml/2006/main">
                <a:graphicData uri="http://schemas.microsoft.com/office/word/2010/wordprocessingShape">
                  <wps:wsp>
                    <wps:cNvSpPr txBox="1"/>
                    <wps:spPr>
                      <a:xfrm>
                        <a:off x="0" y="0"/>
                        <a:ext cx="4972050" cy="703385"/>
                      </a:xfrm>
                      <a:prstGeom prst="rect">
                        <a:avLst/>
                      </a:prstGeom>
                      <a:solidFill>
                        <a:schemeClr val="lt1"/>
                      </a:solidFill>
                      <a:ln w="6350">
                        <a:noFill/>
                      </a:ln>
                    </wps:spPr>
                    <wps:txbx>
                      <w:txbxContent>
                        <w:p w:rsidR="009E399C" w:rsidRPr="00243CAB" w:rsidRDefault="009E399C" w:rsidP="009E399C">
                          <w:pPr>
                            <w:jc w:val="center"/>
                            <w:rPr>
                              <w:rFonts w:ascii="Arial" w:hAnsi="Arial" w:cs="Arial"/>
                              <w:b/>
                              <w:bCs/>
                              <w:sz w:val="24"/>
                              <w:szCs w:val="24"/>
                            </w:rPr>
                          </w:pPr>
                          <w:r w:rsidRPr="00243CAB">
                            <w:rPr>
                              <w:rFonts w:ascii="Arial" w:hAnsi="Arial" w:cs="Arial"/>
                              <w:b/>
                              <w:bCs/>
                              <w:sz w:val="24"/>
                              <w:szCs w:val="24"/>
                            </w:rPr>
                            <w:t xml:space="preserve">FORMATO PARA IDENTIFICAR </w:t>
                          </w:r>
                          <w:r>
                            <w:rPr>
                              <w:rFonts w:ascii="Arial" w:hAnsi="Arial" w:cs="Arial"/>
                              <w:b/>
                              <w:bCs/>
                              <w:sz w:val="24"/>
                              <w:szCs w:val="24"/>
                            </w:rPr>
                            <w:t>RESOLUCIONES</w:t>
                          </w:r>
                          <w:r w:rsidRPr="00243CAB">
                            <w:rPr>
                              <w:rFonts w:ascii="Arial" w:hAnsi="Arial" w:cs="Arial"/>
                              <w:b/>
                              <w:bCs/>
                              <w:sz w:val="24"/>
                              <w:szCs w:val="24"/>
                            </w:rPr>
                            <w:t xml:space="preserve"> DESARROLLADAS APLICANDO LA METODOLOGÍA PARA JUZGAR CON PERSPECTIVA DE GÉNERO</w:t>
                          </w:r>
                        </w:p>
                        <w:p w:rsidR="009E399C" w:rsidRPr="00243CAB" w:rsidRDefault="009E399C" w:rsidP="009E399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0EEEA" id="_x0000_t202" coordsize="21600,21600" o:spt="202" path="m,l,21600r21600,l21600,xe">
              <v:stroke joinstyle="miter"/>
              <v:path gradientshapeok="t" o:connecttype="rect"/>
            </v:shapetype>
            <v:shape id="Cuadro de texto 4" o:spid="_x0000_s1026" type="#_x0000_t202" style="position:absolute;margin-left:83.85pt;margin-top:-2.95pt;width:391.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QgTAIAAIcEAAAOAAAAZHJzL2Uyb0RvYy54bWysVE1v2zAMvQ/YfxB0X2znu0acIkuRYUDQ&#10;FkiHnhVZjg3IoiYpsbNfP0p20rTbadhFpkTykXwkvbhva0lOwtgKVEaTQUyJUBzySh0y+uNl82VO&#10;iXVM5UyCEhk9C0vvl58/LRqdiiGUIHNhCIIomzY6o6VzOo0iy0tRMzsALRQqCzA1c3g1hyg3rEH0&#10;WkbDOJ5GDZhcG+DCWnx96JR0GfCLQnD3VBRWOCIzirm5cJpw7v0ZLRcsPRimy4r3abB/yKJmlcKg&#10;V6gH5hg5muoPqLriBiwUbsChjqAoKi5CDVhNEn+oZlcyLUItSI7VV5rs/4Plj6dnQ6o8o7NpMk+G&#10;0yklitXYqfWR5QZILogTrQMy9lw12qbostPo5Nqv0GLPL+8WHz0FbWFq/8XiCOqR9fOVaUQiHB/H&#10;d7NhPEEVR90sHo3mEw8TvXlrY903ATXxQkYNdjIQzE5b6zrTi4kPZkFW+aaSMlz89Ii1NOTEsO/S&#10;hRwR/J2VVKTJ6HSEaXgnBd69Q5YKc/G1djV5ybX7tidgD/kZ6zfQTZPVfFNhkltm3TMzOD5YF66E&#10;e8KjkIBBoJcoKcH8+tu7t8euopaSBscxo/bnkRlBifyusN93yXjs5zdcxhNkjxJzq9nfatSxXgNW&#10;nuDyaR5Eb+/kRSwM1K+4OSsfFVVMcYydUXcR165bEtw8LlarYIQTq5nbqp3mHtqT5lvw0r4yo/s+&#10;+Vl5hMvgsvRDuzrbju7V0UFRhV56gjtWe95x2sM09Jvp1+n2Hqze/h/L3wAAAP//AwBQSwMEFAAG&#10;AAgAAAAhAHh0k3TgAAAACgEAAA8AAABkcnMvZG93bnJldi54bWxMj81OwzAQhO9IvIO1SFxQ60BJ&#10;Q0KcCiF+JG40LYibGy9JRLyOYjcJb89yguPsfJqdyTez7cSIg28dKbhcRiCQKmdaqhXsysfFDQgf&#10;NBndOUIF3+hhU5ye5DozbqJXHLehFhxCPtMKmhD6TEpfNWi1X7oeib1PN1gdWA61NIOeONx28iqK&#10;1tLqlvhDo3u8b7D62h6tgo+L+v3Fz0/7aRWv+ofnsUzeTKnU+dl8dwsi4Bz+YPitz9Wh4E4HdyTj&#10;Rcd6nSSMKljEKQgG0jjiw4Gd6DoFWeTy/4TiBwAA//8DAFBLAQItABQABgAIAAAAIQC2gziS/gAA&#10;AOEBAAATAAAAAAAAAAAAAAAAAAAAAABbQ29udGVudF9UeXBlc10ueG1sUEsBAi0AFAAGAAgAAAAh&#10;ADj9If/WAAAAlAEAAAsAAAAAAAAAAAAAAAAALwEAAF9yZWxzLy5yZWxzUEsBAi0AFAAGAAgAAAAh&#10;AGMSpCBMAgAAhwQAAA4AAAAAAAAAAAAAAAAALgIAAGRycy9lMm9Eb2MueG1sUEsBAi0AFAAGAAgA&#10;AAAhAHh0k3TgAAAACgEAAA8AAAAAAAAAAAAAAAAApgQAAGRycy9kb3ducmV2LnhtbFBLBQYAAAAA&#10;BAAEAPMAAACzBQAAAAA=&#10;" fillcolor="white [3201]" stroked="f" strokeweight=".5pt">
              <v:textbox>
                <w:txbxContent>
                  <w:p w:rsidR="009E399C" w:rsidRPr="00243CAB" w:rsidRDefault="009E399C" w:rsidP="009E399C">
                    <w:pPr>
                      <w:jc w:val="center"/>
                      <w:rPr>
                        <w:rFonts w:ascii="Arial" w:hAnsi="Arial" w:cs="Arial"/>
                        <w:b/>
                        <w:bCs/>
                        <w:sz w:val="24"/>
                        <w:szCs w:val="24"/>
                      </w:rPr>
                    </w:pPr>
                    <w:r w:rsidRPr="00243CAB">
                      <w:rPr>
                        <w:rFonts w:ascii="Arial" w:hAnsi="Arial" w:cs="Arial"/>
                        <w:b/>
                        <w:bCs/>
                        <w:sz w:val="24"/>
                        <w:szCs w:val="24"/>
                      </w:rPr>
                      <w:t xml:space="preserve">FORMATO PARA IDENTIFICAR </w:t>
                    </w:r>
                    <w:r>
                      <w:rPr>
                        <w:rFonts w:ascii="Arial" w:hAnsi="Arial" w:cs="Arial"/>
                        <w:b/>
                        <w:bCs/>
                        <w:sz w:val="24"/>
                        <w:szCs w:val="24"/>
                      </w:rPr>
                      <w:t>RESOLUCIONES</w:t>
                    </w:r>
                    <w:r w:rsidRPr="00243CAB">
                      <w:rPr>
                        <w:rFonts w:ascii="Arial" w:hAnsi="Arial" w:cs="Arial"/>
                        <w:b/>
                        <w:bCs/>
                        <w:sz w:val="24"/>
                        <w:szCs w:val="24"/>
                      </w:rPr>
                      <w:t xml:space="preserve"> DESARROLLADAS APLICANDO LA METODOLOGÍA PARA JUZGAR CON PERSPECTIVA DE GÉNERO</w:t>
                    </w:r>
                  </w:p>
                  <w:p w:rsidR="009E399C" w:rsidRPr="00243CAB" w:rsidRDefault="009E399C" w:rsidP="009E399C">
                    <w:pPr>
                      <w:jc w:val="center"/>
                    </w:pP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208F1A92" wp14:editId="2CFB24A3">
              <wp:simplePos x="0" y="0"/>
              <wp:positionH relativeFrom="column">
                <wp:posOffset>-346075</wp:posOffset>
              </wp:positionH>
              <wp:positionV relativeFrom="paragraph">
                <wp:posOffset>-315595</wp:posOffset>
              </wp:positionV>
              <wp:extent cx="1066800" cy="1122806"/>
              <wp:effectExtent l="0" t="0" r="0" b="1270"/>
              <wp:wrapNone/>
              <wp:docPr id="433911504" name="Cuadro de texto 2"/>
              <wp:cNvGraphicFramePr/>
              <a:graphic xmlns:a="http://schemas.openxmlformats.org/drawingml/2006/main">
                <a:graphicData uri="http://schemas.microsoft.com/office/word/2010/wordprocessingShape">
                  <wps:wsp>
                    <wps:cNvSpPr txBox="1"/>
                    <wps:spPr>
                      <a:xfrm>
                        <a:off x="0" y="0"/>
                        <a:ext cx="1066800" cy="1122806"/>
                      </a:xfrm>
                      <a:prstGeom prst="rect">
                        <a:avLst/>
                      </a:prstGeom>
                      <a:solidFill>
                        <a:schemeClr val="lt1"/>
                      </a:solidFill>
                      <a:ln w="6350">
                        <a:noFill/>
                      </a:ln>
                    </wps:spPr>
                    <wps:txbx>
                      <w:txbxContent>
                        <w:p w:rsidR="009E399C" w:rsidRDefault="009E399C" w:rsidP="009E399C">
                          <w:r>
                            <w:rPr>
                              <w:noProof/>
                              <w:lang w:eastAsia="es-MX"/>
                            </w:rPr>
                            <w:drawing>
                              <wp:inline distT="0" distB="0" distL="0" distR="0" wp14:anchorId="6BA8CEA3" wp14:editId="460C2A9E">
                                <wp:extent cx="971550" cy="971550"/>
                                <wp:effectExtent l="0" t="0" r="0" b="0"/>
                                <wp:docPr id="1484192848" name="Imagen 1484192848" descr="AMIJ | Quiénes s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IJ | Quiénes som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1A92" id="Cuadro de texto 2" o:spid="_x0000_s1027" type="#_x0000_t202" style="position:absolute;margin-left:-27.25pt;margin-top:-24.85pt;width:84pt;height: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qUAIAAJAEAAAOAAAAZHJzL2Uyb0RvYy54bWysVEtv2zAMvg/YfxB0X/zIY2kQp8hSZBgQ&#10;tAXSoWdFlmMBsqhJSuzs14+SkzTrdhp2kUmR/ER+JD2/7xpFjsI6Cbqg2SClRGgOpdT7gn5/WX+a&#10;UuI80yVToEVBT8LR+8XHD/PWzEQONahSWIIg2s1aU9DaezNLEsdr0TA3ACM0GiuwDfOo2n1SWtYi&#10;eqOSPE0nSQu2NBa4cA5vH3ojXUT8qhLcP1WVE56ogmJuPp42nrtwJos5m+0tM7Xk5zTYP2TRMKnx&#10;0SvUA/OMHKz8A6qR3IKDyg84NAlUleQi1oDVZOm7arY1MyLWguQ4c6XJ/T9Y/nh8tkSWBR0Nh3dZ&#10;Nk5HlGjWYKtWB1ZaIKUgXnQeSB7Iao2bYczWYJTvvkCHTb/cO7wMHHSVbcIXqyNoR9pPV6oRifAQ&#10;lE4m0xRNHG1ZlufTdBJwkrdwY53/KqAhQSioxV5Gitlx43zvenEJrzlQslxLpaIS5keslCVHhp1X&#10;PiaJ4L95KU3agk6G4zQCawjhPbLSmEsoti8qSL7bdZGpa8E7KE/Ig4V+rJzha4m5bpjzz8ziHGF9&#10;uBv+CY9KAb4FZ4mSGuzPv90Hf2wvWilpcS4L6n4cmBWUqG8aG3+XjUZhkKMyGn/OUbG3lt2tRR+a&#10;FSABGW6h4VEM/l5dxMpC84ortAyvoolpjm8X1F/Ele+3BVeQi+UyOuHoGuY3emt4gA6Eh068dK/M&#10;mnO7wsw8wmWC2exd13rfEKlhefBQydjSwHPP6pl+HPs4FOcVDXt1q0evtx/J4hcAAAD//wMAUEsD&#10;BBQABgAIAAAAIQB6l2Dj4gAAAAsBAAAPAAAAZHJzL2Rvd25yZXYueG1sTI9LT8MwEITvSPwHa5G4&#10;oNZJ0xIIcSqEeEjcaHiImxsvSUS8jmI3Cf+e7Qluszuj2W/z7Ww7MeLgW0cK4mUEAqlypqVawWv5&#10;sLgC4YMmoztHqOAHPWyL05NcZ8ZN9ILjLtSCS8hnWkETQp9J6asGrfZL1yOx9+UGqwOPQy3NoCcu&#10;t51cRdGltLolvtDoHu8arL53B6vg86L+ePbz49uUbJL+/mks03dTKnV+Nt/egAg4h78wHPEZHQpm&#10;2rsDGS86BYvNesNRFuvrFMQxESe82bNYpTHIIpf/fyh+AQAA//8DAFBLAQItABQABgAIAAAAIQC2&#10;gziS/gAAAOEBAAATAAAAAAAAAAAAAAAAAAAAAABbQ29udGVudF9UeXBlc10ueG1sUEsBAi0AFAAG&#10;AAgAAAAhADj9If/WAAAAlAEAAAsAAAAAAAAAAAAAAAAALwEAAF9yZWxzLy5yZWxzUEsBAi0AFAAG&#10;AAgAAAAhANtsdupQAgAAkAQAAA4AAAAAAAAAAAAAAAAALgIAAGRycy9lMm9Eb2MueG1sUEsBAi0A&#10;FAAGAAgAAAAhAHqXYOPiAAAACwEAAA8AAAAAAAAAAAAAAAAAqgQAAGRycy9kb3ducmV2LnhtbFBL&#10;BQYAAAAABAAEAPMAAAC5BQAAAAA=&#10;" fillcolor="white [3201]" stroked="f" strokeweight=".5pt">
              <v:textbox>
                <w:txbxContent>
                  <w:p w:rsidR="009E399C" w:rsidRDefault="009E399C" w:rsidP="009E399C">
                    <w:r>
                      <w:rPr>
                        <w:noProof/>
                        <w:lang w:eastAsia="es-MX"/>
                      </w:rPr>
                      <w:drawing>
                        <wp:inline distT="0" distB="0" distL="0" distR="0" wp14:anchorId="6BA8CEA3" wp14:editId="460C2A9E">
                          <wp:extent cx="971550" cy="971550"/>
                          <wp:effectExtent l="0" t="0" r="0" b="0"/>
                          <wp:docPr id="1484192848" name="Imagen 1484192848" descr="AMIJ | Quiénes s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IJ | Quiénes som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rsidR="009E399C" w:rsidRDefault="009E399C" w:rsidP="009E399C">
    <w:pPr>
      <w:pStyle w:val="Encabezado"/>
    </w:pPr>
  </w:p>
  <w:p w:rsidR="009E399C" w:rsidRDefault="009E399C" w:rsidP="009E399C">
    <w:pPr>
      <w:pStyle w:val="Encabezado"/>
    </w:pPr>
  </w:p>
  <w:p w:rsidR="009E399C" w:rsidRDefault="009E39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69"/>
    <w:rsid w:val="003721BF"/>
    <w:rsid w:val="009E399C"/>
    <w:rsid w:val="00F034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6CC43-7C65-4D8F-AF5B-A77B4315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69"/>
    <w:rPr>
      <w:rFonts w:asciiTheme="minorHAnsi" w:hAnsiTheme="minorHAnsi"/>
      <w:kern w:val="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3469"/>
    <w:pPr>
      <w:spacing w:after="0" w:line="240" w:lineRule="auto"/>
    </w:pPr>
    <w:rPr>
      <w:rFonts w:asciiTheme="minorHAnsi" w:hAnsiTheme="minorHAns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3469"/>
    <w:rPr>
      <w:color w:val="0563C1" w:themeColor="hyperlink"/>
      <w:u w:val="single"/>
    </w:rPr>
  </w:style>
  <w:style w:type="paragraph" w:styleId="Encabezado">
    <w:name w:val="header"/>
    <w:basedOn w:val="Normal"/>
    <w:link w:val="EncabezadoCar"/>
    <w:uiPriority w:val="99"/>
    <w:unhideWhenUsed/>
    <w:rsid w:val="009E39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99C"/>
    <w:rPr>
      <w:rFonts w:asciiTheme="minorHAnsi" w:hAnsiTheme="minorHAnsi"/>
      <w:kern w:val="2"/>
      <w14:ligatures w14:val="standardContextual"/>
    </w:rPr>
  </w:style>
  <w:style w:type="paragraph" w:styleId="Piedepgina">
    <w:name w:val="footer"/>
    <w:basedOn w:val="Normal"/>
    <w:link w:val="PiedepginaCar"/>
    <w:uiPriority w:val="99"/>
    <w:unhideWhenUsed/>
    <w:rsid w:val="009E39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99C"/>
    <w:rPr>
      <w:rFonts w:asciiTheme="minorHAnsi" w:hAnsiTheme="minorHAns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tlax.org.mx/wp-content/uploads/2023/05/Sentencia-TET-JDC-008-2023.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2560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2</cp:revision>
  <dcterms:created xsi:type="dcterms:W3CDTF">2023-06-26T19:16:00Z</dcterms:created>
  <dcterms:modified xsi:type="dcterms:W3CDTF">2023-06-26T19:51:00Z</dcterms:modified>
</cp:coreProperties>
</file>