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153" w:type="dxa"/>
        <w:tblInd w:w="-993" w:type="dxa"/>
        <w:tblLook w:val="04A0" w:firstRow="1" w:lastRow="0" w:firstColumn="1" w:lastColumn="0" w:noHBand="0" w:noVBand="1"/>
      </w:tblPr>
      <w:tblGrid>
        <w:gridCol w:w="638"/>
        <w:gridCol w:w="556"/>
        <w:gridCol w:w="819"/>
        <w:gridCol w:w="7801"/>
        <w:gridCol w:w="727"/>
        <w:gridCol w:w="612"/>
      </w:tblGrid>
      <w:tr w:rsidR="003806B9" w:rsidRPr="00021670" w:rsidTr="00A64112">
        <w:trPr>
          <w:cantSplit/>
          <w:trHeight w:val="165"/>
        </w:trPr>
        <w:tc>
          <w:tcPr>
            <w:tcW w:w="1975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660066"/>
            <w:vAlign w:val="center"/>
          </w:tcPr>
          <w:p w:rsidR="003806B9" w:rsidRPr="00BE492C" w:rsidRDefault="003806B9" w:rsidP="00A6411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92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Órgano Jurisdiccional:</w:t>
            </w:r>
          </w:p>
        </w:tc>
        <w:tc>
          <w:tcPr>
            <w:tcW w:w="8964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243CAB" w:rsidRDefault="003806B9" w:rsidP="00A64112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Tribunal Electoral de Tlaxcala </w:t>
            </w:r>
          </w:p>
        </w:tc>
      </w:tr>
      <w:tr w:rsidR="003806B9" w:rsidRPr="00021670" w:rsidTr="00A64112">
        <w:trPr>
          <w:cantSplit/>
          <w:trHeight w:val="165"/>
        </w:trPr>
        <w:tc>
          <w:tcPr>
            <w:tcW w:w="1975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660066"/>
            <w:vAlign w:val="center"/>
          </w:tcPr>
          <w:p w:rsidR="003806B9" w:rsidRPr="00BE492C" w:rsidRDefault="003806B9" w:rsidP="00A6411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Resolución</w:t>
            </w:r>
            <w:r w:rsidRPr="00BE492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964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243CAB" w:rsidRDefault="003806B9" w:rsidP="00A64112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TET-JDC-63-2022</w:t>
            </w:r>
          </w:p>
        </w:tc>
      </w:tr>
      <w:tr w:rsidR="003806B9" w:rsidRPr="00021670" w:rsidTr="00A64112">
        <w:trPr>
          <w:cantSplit/>
          <w:trHeight w:val="165"/>
        </w:trPr>
        <w:tc>
          <w:tcPr>
            <w:tcW w:w="1975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660066"/>
            <w:vAlign w:val="center"/>
          </w:tcPr>
          <w:p w:rsidR="003806B9" w:rsidRPr="00BE492C" w:rsidRDefault="003806B9" w:rsidP="00A6411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92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Link:</w:t>
            </w:r>
          </w:p>
        </w:tc>
        <w:tc>
          <w:tcPr>
            <w:tcW w:w="8964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243CAB" w:rsidRDefault="001A7704" w:rsidP="00A64112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3806B9" w:rsidRPr="009C3BA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https://tetlax.org.mx/wp-content/uploads/2022/11/Sentencia-TET-JDC-063-2022.pdf</w:t>
              </w:r>
            </w:hyperlink>
            <w:r w:rsidR="003806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806B9" w:rsidRPr="00021670" w:rsidTr="00A64112">
        <w:trPr>
          <w:cantSplit/>
          <w:trHeight w:val="502"/>
        </w:trPr>
        <w:tc>
          <w:tcPr>
            <w:tcW w:w="1975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660066"/>
            <w:vAlign w:val="center"/>
          </w:tcPr>
          <w:p w:rsidR="003806B9" w:rsidRPr="00BE492C" w:rsidRDefault="003806B9" w:rsidP="00A6411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92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Observaciones:</w:t>
            </w:r>
          </w:p>
        </w:tc>
        <w:tc>
          <w:tcPr>
            <w:tcW w:w="8964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243CAB" w:rsidRDefault="003806B9" w:rsidP="00A64112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Dos regidoras y una Presidenta de Comunidad impugnaron actos cometidos por un Ayuntamiento.  Se declaró la incompetencia respecto del reclamo de recursos para la comunidad; al acreditarse la vulneración de su derecho a ejercer su cargo, se inaplicaron disposiciones de un reglamento interno, se dejó sin efectos las sanciones y retención de sus remuneraciones, así como la suspensión de su cargo; y, se dio vista a la Comisión Estatal de Derechos Humanos y al Instituto Tlaxcalteca de Elecciones para que investiguen la discriminación y los actos de violencia política de género.</w:t>
            </w:r>
          </w:p>
        </w:tc>
      </w:tr>
      <w:tr w:rsidR="003806B9" w:rsidRPr="00021670" w:rsidTr="00A64112">
        <w:trPr>
          <w:cantSplit/>
          <w:trHeight w:val="198"/>
        </w:trPr>
        <w:tc>
          <w:tcPr>
            <w:tcW w:w="10939" w:type="dxa"/>
            <w:gridSpan w:val="6"/>
            <w:tcBorders>
              <w:top w:val="single" w:sz="8" w:space="0" w:color="F7E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6B9" w:rsidRPr="00BE492C" w:rsidRDefault="003806B9" w:rsidP="00A64112">
            <w:pPr>
              <w:rPr>
                <w:rFonts w:ascii="Arial Black" w:hAnsi="Arial Black" w:cs="Arial"/>
                <w:color w:val="660066"/>
                <w:sz w:val="4"/>
                <w:szCs w:val="4"/>
              </w:rPr>
            </w:pPr>
          </w:p>
        </w:tc>
      </w:tr>
      <w:tr w:rsidR="003806B9" w:rsidRPr="00021670" w:rsidTr="00A64112">
        <w:trPr>
          <w:cantSplit/>
          <w:trHeight w:val="165"/>
        </w:trPr>
        <w:tc>
          <w:tcPr>
            <w:tcW w:w="9626" w:type="dxa"/>
            <w:gridSpan w:val="4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4D2F4D" w:rsidRDefault="003806B9" w:rsidP="00A64112">
            <w:pPr>
              <w:spacing w:line="312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BE492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Para identificar si una 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resolución</w:t>
            </w:r>
            <w:r w:rsidRPr="00BE492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cumple con los indicadores, se deberá cuestionar:</w:t>
            </w:r>
          </w:p>
        </w:tc>
        <w:tc>
          <w:tcPr>
            <w:tcW w:w="131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</w:tcPr>
          <w:p w:rsidR="003806B9" w:rsidRPr="00414953" w:rsidRDefault="003806B9" w:rsidP="00A64112">
            <w:pPr>
              <w:spacing w:line="312" w:lineRule="auto"/>
              <w:jc w:val="center"/>
              <w:rPr>
                <w:rFonts w:ascii="Arial Black" w:hAnsi="Arial Black" w:cs="Arial"/>
                <w:color w:val="660066"/>
                <w:sz w:val="16"/>
                <w:szCs w:val="16"/>
              </w:rPr>
            </w:pPr>
            <w:r w:rsidRPr="006A6879">
              <w:rPr>
                <w:rFonts w:ascii="Arial Black" w:hAnsi="Arial Black" w:cs="Arial"/>
                <w:color w:val="FFFFFF" w:themeColor="background1"/>
                <w:sz w:val="16"/>
                <w:szCs w:val="16"/>
              </w:rPr>
              <w:t>Cumple</w:t>
            </w:r>
          </w:p>
        </w:tc>
      </w:tr>
      <w:tr w:rsidR="003806B9" w:rsidRPr="00021670" w:rsidTr="00A64112">
        <w:trPr>
          <w:cantSplit/>
          <w:trHeight w:val="165"/>
        </w:trPr>
        <w:tc>
          <w:tcPr>
            <w:tcW w:w="9626" w:type="dxa"/>
            <w:gridSpan w:val="4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4D2F4D" w:rsidRDefault="003806B9" w:rsidP="00A64112">
            <w:pPr>
              <w:spacing w:line="312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FFFFF" w:themeColor="background1"/>
              <w:bottom w:val="single" w:sz="8" w:space="0" w:color="F7EFFF"/>
              <w:right w:val="single" w:sz="8" w:space="0" w:color="FFFFFF" w:themeColor="background1"/>
            </w:tcBorders>
            <w:shd w:val="clear" w:color="auto" w:fill="660066"/>
          </w:tcPr>
          <w:p w:rsidR="003806B9" w:rsidRPr="006A6879" w:rsidRDefault="003806B9" w:rsidP="00A64112">
            <w:pPr>
              <w:spacing w:line="312" w:lineRule="auto"/>
              <w:jc w:val="center"/>
              <w:rPr>
                <w:rFonts w:ascii="Arial Black" w:hAnsi="Arial Black" w:cs="Arial"/>
                <w:color w:val="FFFFFF" w:themeColor="background1"/>
                <w:sz w:val="16"/>
                <w:szCs w:val="16"/>
              </w:rPr>
            </w:pPr>
            <w:r w:rsidRPr="006A6879">
              <w:rPr>
                <w:rFonts w:ascii="Arial Black" w:hAnsi="Arial Black" w:cs="Arial"/>
                <w:color w:val="FFFFFF" w:themeColor="background1"/>
                <w:sz w:val="16"/>
                <w:szCs w:val="16"/>
              </w:rPr>
              <w:t>Sí</w:t>
            </w:r>
          </w:p>
        </w:tc>
        <w:tc>
          <w:tcPr>
            <w:tcW w:w="6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</w:tcPr>
          <w:p w:rsidR="003806B9" w:rsidRPr="006A6879" w:rsidRDefault="003806B9" w:rsidP="00A64112">
            <w:pPr>
              <w:spacing w:line="312" w:lineRule="auto"/>
              <w:jc w:val="center"/>
              <w:rPr>
                <w:rFonts w:ascii="Arial Black" w:hAnsi="Arial Black" w:cs="Arial"/>
                <w:color w:val="FFFFFF" w:themeColor="background1"/>
                <w:sz w:val="16"/>
                <w:szCs w:val="16"/>
              </w:rPr>
            </w:pPr>
            <w:r w:rsidRPr="006A6879">
              <w:rPr>
                <w:rFonts w:ascii="Arial Black" w:hAnsi="Arial Black" w:cs="Arial"/>
                <w:color w:val="FFFFFF" w:themeColor="background1"/>
                <w:sz w:val="16"/>
                <w:szCs w:val="16"/>
              </w:rPr>
              <w:t>No</w:t>
            </w:r>
          </w:p>
        </w:tc>
      </w:tr>
      <w:tr w:rsidR="003806B9" w:rsidRPr="00021670" w:rsidTr="00A64112">
        <w:trPr>
          <w:trHeight w:val="949"/>
        </w:trPr>
        <w:tc>
          <w:tcPr>
            <w:tcW w:w="627" w:type="dxa"/>
            <w:vMerge w:val="restart"/>
            <w:tcBorders>
              <w:top w:val="single" w:sz="8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textDirection w:val="btLr"/>
            <w:vAlign w:val="center"/>
          </w:tcPr>
          <w:p w:rsidR="003806B9" w:rsidRPr="00936C02" w:rsidRDefault="003806B9" w:rsidP="00A64112">
            <w:pPr>
              <w:ind w:left="113" w:right="113"/>
              <w:jc w:val="center"/>
              <w:rPr>
                <w:rFonts w:ascii="Arial Black" w:hAnsi="Arial Black" w:cs="Arial"/>
                <w:color w:val="660066"/>
                <w:sz w:val="16"/>
                <w:szCs w:val="16"/>
              </w:rPr>
            </w:pPr>
            <w:r w:rsidRPr="00936C02">
              <w:rPr>
                <w:rFonts w:ascii="Arial Black" w:hAnsi="Arial Black" w:cs="Arial"/>
                <w:color w:val="660066"/>
                <w:sz w:val="16"/>
                <w:szCs w:val="16"/>
              </w:rPr>
              <w:t>CÉDULA INTEGRAL PARA EL OTORGAMIENTO DE LA MEDALLA MARÍA CRISTINA SALMOTRÁN DE TAMAYO</w:t>
            </w: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D60F69" w:rsidRDefault="003806B9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84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3806B9" w:rsidRPr="00D60F69" w:rsidRDefault="003806B9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¿En la resolución se identifica si existen situaciones de poder / contextos de desigualdad estructural / contextos de violencia? Y, de ser el caso, ¿ordena de oficio las pruebas necesarias?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D102C2" w:rsidRDefault="003806B9" w:rsidP="003806B9">
            <w:pPr>
              <w:pStyle w:val="Prrafodelista"/>
              <w:numPr>
                <w:ilvl w:val="0"/>
                <w:numId w:val="1"/>
              </w:num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FFFFF" w:themeColor="background1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3806B9" w:rsidRPr="00C96CB6" w:rsidRDefault="003806B9" w:rsidP="00A64112">
            <w:p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06B9" w:rsidRPr="00021670" w:rsidTr="00A64112">
        <w:tc>
          <w:tcPr>
            <w:tcW w:w="627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806B9" w:rsidRPr="00936C02" w:rsidRDefault="003806B9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D60F69" w:rsidRDefault="003806B9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84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3806B9" w:rsidRPr="00D60F69" w:rsidRDefault="003806B9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¿Desecha cualquier estereotipo / prejuicio de género?; ¿Aprecia los hechos y las pruebas con sensibilidad?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D102C2" w:rsidRDefault="003806B9" w:rsidP="003806B9">
            <w:pPr>
              <w:pStyle w:val="Prrafodelista"/>
              <w:numPr>
                <w:ilvl w:val="0"/>
                <w:numId w:val="1"/>
              </w:num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3806B9" w:rsidRPr="00C96CB6" w:rsidRDefault="003806B9" w:rsidP="00A64112">
            <w:p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06B9" w:rsidRPr="00021670" w:rsidTr="00A64112">
        <w:trPr>
          <w:trHeight w:val="477"/>
        </w:trPr>
        <w:tc>
          <w:tcPr>
            <w:tcW w:w="627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806B9" w:rsidRPr="00936C02" w:rsidRDefault="003806B9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D60F69" w:rsidRDefault="003806B9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4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3806B9" w:rsidRPr="00D60F69" w:rsidRDefault="003806B9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¿Cumple con la obligación de apreciar los hechos y las pruebas con sensibilidad sobre las cuestiones de género?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D102C2" w:rsidRDefault="003806B9" w:rsidP="003806B9">
            <w:pPr>
              <w:pStyle w:val="Prrafodelista"/>
              <w:numPr>
                <w:ilvl w:val="0"/>
                <w:numId w:val="1"/>
              </w:num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3806B9" w:rsidRPr="00C96CB6" w:rsidRDefault="003806B9" w:rsidP="00A64112">
            <w:p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06B9" w:rsidRPr="00021670" w:rsidTr="00A64112">
        <w:tc>
          <w:tcPr>
            <w:tcW w:w="627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806B9" w:rsidRPr="00936C02" w:rsidRDefault="003806B9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D60F69" w:rsidRDefault="003806B9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4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3806B9" w:rsidRPr="00D60F69" w:rsidRDefault="003806B9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¿Aplica estándares de derechos humanos?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D102C2" w:rsidRDefault="003806B9" w:rsidP="003806B9">
            <w:pPr>
              <w:pStyle w:val="Prrafodelista"/>
              <w:numPr>
                <w:ilvl w:val="0"/>
                <w:numId w:val="1"/>
              </w:num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3806B9" w:rsidRPr="00C96CB6" w:rsidRDefault="003806B9" w:rsidP="00A64112">
            <w:p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06B9" w:rsidRPr="00021670" w:rsidTr="00A64112">
        <w:tc>
          <w:tcPr>
            <w:tcW w:w="627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806B9" w:rsidRPr="00936C02" w:rsidRDefault="003806B9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D60F69" w:rsidRDefault="003806B9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4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3806B9" w:rsidRPr="00D60F69" w:rsidRDefault="003806B9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¿Evalúa el impacto diferenciado de la resolución y la neutralidad de la norma?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D102C2" w:rsidRDefault="003806B9" w:rsidP="003806B9">
            <w:pPr>
              <w:pStyle w:val="Prrafodelista"/>
              <w:numPr>
                <w:ilvl w:val="0"/>
                <w:numId w:val="1"/>
              </w:num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3806B9" w:rsidRPr="00C96CB6" w:rsidRDefault="003806B9" w:rsidP="00A64112">
            <w:p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06B9" w:rsidRPr="00021670" w:rsidTr="00A64112">
        <w:tc>
          <w:tcPr>
            <w:tcW w:w="627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806B9" w:rsidRPr="00936C02" w:rsidRDefault="003806B9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D60F69" w:rsidRDefault="003806B9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4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3806B9" w:rsidRPr="00D60F69" w:rsidRDefault="003806B9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 xml:space="preserve">¿La resolución utiliza lenguaje incluyente y no </w:t>
            </w:r>
            <w:proofErr w:type="spellStart"/>
            <w:r w:rsidRPr="00D60F69">
              <w:rPr>
                <w:rFonts w:ascii="Arial" w:hAnsi="Arial" w:cs="Arial"/>
                <w:sz w:val="20"/>
                <w:szCs w:val="20"/>
              </w:rPr>
              <w:t>revictimizante</w:t>
            </w:r>
            <w:proofErr w:type="spellEnd"/>
            <w:r w:rsidRPr="00D60F69">
              <w:rPr>
                <w:rFonts w:ascii="Arial" w:hAnsi="Arial" w:cs="Arial"/>
                <w:sz w:val="20"/>
                <w:szCs w:val="20"/>
              </w:rPr>
              <w:t xml:space="preserve"> y/o está redactada en formato de lectura fácil?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D102C2" w:rsidRDefault="003806B9" w:rsidP="003806B9">
            <w:pPr>
              <w:pStyle w:val="Prrafodelista"/>
              <w:numPr>
                <w:ilvl w:val="0"/>
                <w:numId w:val="1"/>
              </w:num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3806B9" w:rsidRPr="00C96CB6" w:rsidRDefault="003806B9" w:rsidP="00A64112">
            <w:p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06B9" w:rsidRPr="00021670" w:rsidTr="00A64112">
        <w:tc>
          <w:tcPr>
            <w:tcW w:w="627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806B9" w:rsidRPr="00936C02" w:rsidRDefault="003806B9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D60F69" w:rsidRDefault="003806B9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4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3806B9" w:rsidRPr="00D60F69" w:rsidRDefault="003806B9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¿Identifica correctamente el uso adecuado o inadecuado de los elementos de la metodología para juzgar con perspectiva de género?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D102C2" w:rsidRDefault="003806B9" w:rsidP="003806B9">
            <w:pPr>
              <w:pStyle w:val="Prrafodelista"/>
              <w:numPr>
                <w:ilvl w:val="0"/>
                <w:numId w:val="1"/>
              </w:num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3806B9" w:rsidRPr="00C96CB6" w:rsidRDefault="003806B9" w:rsidP="00A64112">
            <w:p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06B9" w:rsidRPr="00021670" w:rsidTr="00A64112">
        <w:tc>
          <w:tcPr>
            <w:tcW w:w="627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806B9" w:rsidRPr="00936C02" w:rsidRDefault="003806B9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D60F69" w:rsidRDefault="003806B9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4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3806B9" w:rsidRPr="00D60F69" w:rsidRDefault="003806B9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¿Su reflexión es propositiva y deja ver la comprensión de la metodología para juzgar con perspectiva de género?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D102C2" w:rsidRDefault="003806B9" w:rsidP="003806B9">
            <w:pPr>
              <w:pStyle w:val="Prrafodelista"/>
              <w:numPr>
                <w:ilvl w:val="0"/>
                <w:numId w:val="1"/>
              </w:num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3806B9" w:rsidRPr="00C96CB6" w:rsidRDefault="003806B9" w:rsidP="00A64112">
            <w:p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06B9" w:rsidRPr="00021670" w:rsidTr="00A64112">
        <w:trPr>
          <w:trHeight w:val="282"/>
        </w:trPr>
        <w:tc>
          <w:tcPr>
            <w:tcW w:w="627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806B9" w:rsidRPr="00936C02" w:rsidRDefault="003806B9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D60F69" w:rsidRDefault="003806B9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84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3806B9" w:rsidRPr="00D60F69" w:rsidRDefault="003806B9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¿La resolución analiza y se pronuncia sobre el deber de reparar o de dictar reparaciones?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EE41DC" w:rsidRDefault="003806B9" w:rsidP="003806B9">
            <w:pPr>
              <w:pStyle w:val="Prrafodelista"/>
              <w:numPr>
                <w:ilvl w:val="0"/>
                <w:numId w:val="1"/>
              </w:num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3806B9" w:rsidRPr="00EE41DC" w:rsidRDefault="003806B9" w:rsidP="00A64112">
            <w:pPr>
              <w:tabs>
                <w:tab w:val="left" w:pos="360"/>
              </w:tabs>
              <w:spacing w:line="312" w:lineRule="auto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3806B9" w:rsidRPr="00021670" w:rsidTr="00A64112">
        <w:trPr>
          <w:cantSplit/>
          <w:trHeight w:val="1104"/>
        </w:trPr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3806B9" w:rsidRPr="00174B3D" w:rsidRDefault="003806B9" w:rsidP="00A64112">
            <w:pPr>
              <w:ind w:left="113" w:right="113"/>
              <w:jc w:val="center"/>
              <w:rPr>
                <w:rFonts w:ascii="Arial Black" w:hAnsi="Arial Black" w:cs="Arial"/>
                <w:color w:val="660066"/>
                <w:sz w:val="12"/>
                <w:szCs w:val="12"/>
              </w:rPr>
            </w:pPr>
            <w:r w:rsidRPr="00174B3D">
              <w:rPr>
                <w:rFonts w:ascii="Arial Black" w:hAnsi="Arial Black" w:cs="Arial"/>
                <w:color w:val="660066"/>
                <w:sz w:val="12"/>
                <w:szCs w:val="12"/>
              </w:rPr>
              <w:t>PROTOCOLO SCJN</w:t>
            </w: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D60F69" w:rsidRDefault="003806B9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84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3806B9" w:rsidRPr="00D60F69" w:rsidRDefault="003806B9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¿Cumple con la obligación de ordenar de oficio las pruebas necesarias para visibilizar situaciones de violencia, vulnerabilidad o discriminación por razones de género, en caso de que el material probatorio no sea suficiente para aclararlas?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D102C2" w:rsidRDefault="003806B9" w:rsidP="003806B9">
            <w:pPr>
              <w:pStyle w:val="Prrafodelista"/>
              <w:numPr>
                <w:ilvl w:val="0"/>
                <w:numId w:val="1"/>
              </w:num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3806B9" w:rsidRPr="00C96CB6" w:rsidRDefault="003806B9" w:rsidP="00A64112">
            <w:p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06B9" w:rsidRPr="00021670" w:rsidTr="00A64112">
        <w:trPr>
          <w:trHeight w:val="268"/>
        </w:trPr>
        <w:tc>
          <w:tcPr>
            <w:tcW w:w="627" w:type="dxa"/>
            <w:vMerge w:val="restar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textDirection w:val="btLr"/>
            <w:vAlign w:val="center"/>
          </w:tcPr>
          <w:p w:rsidR="003806B9" w:rsidRPr="00936C02" w:rsidRDefault="003806B9" w:rsidP="00A64112">
            <w:pPr>
              <w:ind w:left="113" w:right="113"/>
              <w:jc w:val="center"/>
              <w:rPr>
                <w:rFonts w:ascii="Arial Black" w:hAnsi="Arial Black" w:cs="Arial"/>
                <w:color w:val="660066"/>
                <w:sz w:val="16"/>
                <w:szCs w:val="16"/>
              </w:rPr>
            </w:pPr>
            <w:r w:rsidRPr="00936C02">
              <w:rPr>
                <w:rFonts w:ascii="Arial Black" w:hAnsi="Arial Black" w:cs="Arial"/>
                <w:color w:val="660066"/>
                <w:sz w:val="16"/>
                <w:szCs w:val="16"/>
              </w:rPr>
              <w:t xml:space="preserve"> “NO ES JUSTICIA” EQUIS MUEJRES </w:t>
            </w: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D60F69" w:rsidRDefault="003806B9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84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3806B9" w:rsidRPr="00D60F69" w:rsidRDefault="003806B9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¿Se detectan situaciones de riesgo y se ordenan órdenes de protección?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C96CB6" w:rsidRDefault="003806B9" w:rsidP="00A64112">
            <w:p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3806B9" w:rsidRPr="00D102C2" w:rsidRDefault="003806B9" w:rsidP="003806B9">
            <w:pPr>
              <w:pStyle w:val="Prrafodelista"/>
              <w:numPr>
                <w:ilvl w:val="0"/>
                <w:numId w:val="1"/>
              </w:num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06B9" w:rsidRPr="00021670" w:rsidTr="00A64112">
        <w:trPr>
          <w:trHeight w:val="402"/>
        </w:trPr>
        <w:tc>
          <w:tcPr>
            <w:tcW w:w="627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3806B9" w:rsidRPr="00936C02" w:rsidRDefault="003806B9" w:rsidP="00A64112">
            <w:pPr>
              <w:jc w:val="both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D60F69" w:rsidRDefault="003806B9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84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3806B9" w:rsidRPr="00D60F69" w:rsidRDefault="003806B9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¿Identifica los derechos afectados?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D102C2" w:rsidRDefault="003806B9" w:rsidP="003806B9">
            <w:pPr>
              <w:pStyle w:val="Prrafodelista"/>
              <w:numPr>
                <w:ilvl w:val="0"/>
                <w:numId w:val="1"/>
              </w:num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3806B9" w:rsidRPr="00C96CB6" w:rsidRDefault="003806B9" w:rsidP="00A64112">
            <w:p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06B9" w:rsidRPr="00021670" w:rsidTr="00A64112">
        <w:trPr>
          <w:trHeight w:val="408"/>
        </w:trPr>
        <w:tc>
          <w:tcPr>
            <w:tcW w:w="627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3806B9" w:rsidRPr="00936C02" w:rsidRDefault="003806B9" w:rsidP="00A64112">
            <w:pPr>
              <w:jc w:val="both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D60F69" w:rsidRDefault="003806B9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84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3806B9" w:rsidRPr="00D60F69" w:rsidRDefault="003806B9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¿Ubica el derecho aplicable al caso?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D102C2" w:rsidRDefault="003806B9" w:rsidP="003806B9">
            <w:pPr>
              <w:pStyle w:val="Prrafodelista"/>
              <w:numPr>
                <w:ilvl w:val="0"/>
                <w:numId w:val="1"/>
              </w:num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3806B9" w:rsidRPr="00C96CB6" w:rsidRDefault="003806B9" w:rsidP="00A64112">
            <w:p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06B9" w:rsidRPr="00021670" w:rsidTr="00A64112">
        <w:tc>
          <w:tcPr>
            <w:tcW w:w="627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3806B9" w:rsidRPr="00936C02" w:rsidRDefault="003806B9" w:rsidP="00A64112">
            <w:pPr>
              <w:jc w:val="both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D60F69" w:rsidRDefault="003806B9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84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3806B9" w:rsidRPr="00D60F69" w:rsidRDefault="003806B9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¿Cuenta con medidas de seguimiento de sentencias?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D102C2" w:rsidRDefault="003806B9" w:rsidP="003806B9">
            <w:pPr>
              <w:pStyle w:val="Prrafodelista"/>
              <w:numPr>
                <w:ilvl w:val="0"/>
                <w:numId w:val="1"/>
              </w:num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3806B9" w:rsidRPr="00C96CB6" w:rsidRDefault="003806B9" w:rsidP="00A64112">
            <w:p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06B9" w:rsidRPr="00021670" w:rsidTr="00A64112">
        <w:tc>
          <w:tcPr>
            <w:tcW w:w="627" w:type="dxa"/>
            <w:vMerge w:val="restar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3806B9" w:rsidRPr="00936C02" w:rsidRDefault="003806B9" w:rsidP="00A64112">
            <w:pPr>
              <w:ind w:left="113" w:right="113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936C02">
              <w:rPr>
                <w:rFonts w:ascii="Arial Black" w:hAnsi="Arial Black" w:cs="Arial"/>
                <w:color w:val="660066"/>
                <w:sz w:val="16"/>
                <w:szCs w:val="16"/>
              </w:rPr>
              <w:t>CEDAW</w:t>
            </w: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D60F69" w:rsidRDefault="003806B9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4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3806B9" w:rsidRPr="00D60F69" w:rsidRDefault="003806B9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¿Se determinó una medida de protección efectiva de la mujer contra todo acto de discriminación?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DC3F0E" w:rsidRDefault="003806B9" w:rsidP="00A64112">
            <w:pPr>
              <w:tabs>
                <w:tab w:val="left" w:pos="360"/>
              </w:tabs>
              <w:spacing w:line="312" w:lineRule="auto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3806B9" w:rsidRPr="00EE41DC" w:rsidRDefault="003806B9" w:rsidP="003806B9">
            <w:pPr>
              <w:pStyle w:val="Prrafodelista"/>
              <w:numPr>
                <w:ilvl w:val="0"/>
                <w:numId w:val="1"/>
              </w:num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06B9" w:rsidRPr="00021670" w:rsidTr="00A64112">
        <w:tc>
          <w:tcPr>
            <w:tcW w:w="627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3806B9" w:rsidRPr="00021670" w:rsidRDefault="003806B9" w:rsidP="00A6411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D60F69" w:rsidRDefault="003806B9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4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3806B9" w:rsidRPr="00D60F69" w:rsidRDefault="003806B9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¿Se reconoce la plena igualdad de la mujer con el hombre ante la Ley?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EE41DC" w:rsidRDefault="003806B9" w:rsidP="003806B9">
            <w:pPr>
              <w:pStyle w:val="Prrafodelista"/>
              <w:numPr>
                <w:ilvl w:val="0"/>
                <w:numId w:val="1"/>
              </w:num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3806B9" w:rsidRPr="00C96CB6" w:rsidRDefault="003806B9" w:rsidP="00A64112">
            <w:p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06B9" w:rsidRPr="00021670" w:rsidTr="00A64112">
        <w:trPr>
          <w:trHeight w:val="605"/>
        </w:trPr>
        <w:tc>
          <w:tcPr>
            <w:tcW w:w="627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3806B9" w:rsidRPr="00021670" w:rsidRDefault="003806B9" w:rsidP="00A6411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3806B9" w:rsidRPr="00D60F69" w:rsidRDefault="003806B9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45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3806B9" w:rsidRPr="00D60F69" w:rsidRDefault="003806B9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¿Se reconoce a la mujer, en materias civiles, una capacidad jurídica idéntica a la del hombre y las mismas oportunidades para el ejercicio de esa capacidad?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3806B9" w:rsidRPr="00EE41DC" w:rsidRDefault="003806B9" w:rsidP="003806B9">
            <w:pPr>
              <w:pStyle w:val="Prrafodelista"/>
              <w:numPr>
                <w:ilvl w:val="0"/>
                <w:numId w:val="1"/>
              </w:num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3806B9" w:rsidRPr="00C96CB6" w:rsidRDefault="003806B9" w:rsidP="00A64112">
            <w:pPr>
              <w:tabs>
                <w:tab w:val="left" w:pos="360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721BF" w:rsidRDefault="003721BF"/>
    <w:sectPr w:rsidR="003721BF" w:rsidSect="001A7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04" w:rsidRDefault="001A7704" w:rsidP="001A7704">
      <w:pPr>
        <w:spacing w:after="0" w:line="240" w:lineRule="auto"/>
      </w:pPr>
      <w:r>
        <w:separator/>
      </w:r>
    </w:p>
  </w:endnote>
  <w:endnote w:type="continuationSeparator" w:id="0">
    <w:p w:rsidR="001A7704" w:rsidRDefault="001A7704" w:rsidP="001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04" w:rsidRDefault="001A77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04" w:rsidRDefault="001A770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04" w:rsidRDefault="001A77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04" w:rsidRDefault="001A7704" w:rsidP="001A7704">
      <w:pPr>
        <w:spacing w:after="0" w:line="240" w:lineRule="auto"/>
      </w:pPr>
      <w:r>
        <w:separator/>
      </w:r>
    </w:p>
  </w:footnote>
  <w:footnote w:type="continuationSeparator" w:id="0">
    <w:p w:rsidR="001A7704" w:rsidRDefault="001A7704" w:rsidP="001A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04" w:rsidRDefault="001A77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04" w:rsidRDefault="001A7704" w:rsidP="001A7704">
    <w:pPr>
      <w:pStyle w:val="Encabezado"/>
    </w:pPr>
    <w:bookmarkStart w:id="0" w:name="_GoBack"/>
    <w:bookmarkEnd w:id="0"/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0EEEA" wp14:editId="19BA7109">
              <wp:simplePos x="0" y="0"/>
              <wp:positionH relativeFrom="column">
                <wp:posOffset>1065188</wp:posOffset>
              </wp:positionH>
              <wp:positionV relativeFrom="paragraph">
                <wp:posOffset>-37598</wp:posOffset>
              </wp:positionV>
              <wp:extent cx="4972050" cy="703385"/>
              <wp:effectExtent l="0" t="0" r="0" b="1905"/>
              <wp:wrapNone/>
              <wp:docPr id="76181266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0" cy="703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A7704" w:rsidRPr="00243CAB" w:rsidRDefault="001A7704" w:rsidP="001A770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43CA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FORMATO PARA IDENTIFICAR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RESOLUCIONES</w:t>
                          </w:r>
                          <w:r w:rsidRPr="00243CA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DESARROLLADAS APLICANDO LA METODOLOGÍA PARA JUZGAR CON PERSPECTIVA DE GÉNERO</w:t>
                          </w:r>
                        </w:p>
                        <w:p w:rsidR="001A7704" w:rsidRPr="00243CAB" w:rsidRDefault="001A7704" w:rsidP="001A770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0EEE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83.85pt;margin-top:-2.95pt;width:391.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" fillcolor="white [3201]" stroked="f" strokeweight=".5pt">
              <v:textbox>
                <w:txbxContent>
                  <w:p w:rsidR="001A7704" w:rsidRPr="00243CAB" w:rsidRDefault="001A7704" w:rsidP="001A770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243CA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FORMATO PARA IDENTIFICAR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RESOLUCIONES</w:t>
                    </w:r>
                    <w:r w:rsidRPr="00243CA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DESARROLLADAS APLICANDO LA METODOLOGÍA PARA JUZGAR CON PERSPECTIVA DE GÉNERO</w:t>
                    </w:r>
                  </w:p>
                  <w:p w:rsidR="001A7704" w:rsidRPr="00243CAB" w:rsidRDefault="001A7704" w:rsidP="001A770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F1A92" wp14:editId="2CFB24A3">
              <wp:simplePos x="0" y="0"/>
              <wp:positionH relativeFrom="column">
                <wp:posOffset>-346075</wp:posOffset>
              </wp:positionH>
              <wp:positionV relativeFrom="paragraph">
                <wp:posOffset>-315595</wp:posOffset>
              </wp:positionV>
              <wp:extent cx="1066800" cy="1122806"/>
              <wp:effectExtent l="0" t="0" r="0" b="1270"/>
              <wp:wrapNone/>
              <wp:docPr id="43391150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1228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A7704" w:rsidRDefault="001A7704" w:rsidP="001A7704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BA8CEA3" wp14:editId="460C2A9E">
                                <wp:extent cx="971550" cy="971550"/>
                                <wp:effectExtent l="0" t="0" r="0" b="0"/>
                                <wp:docPr id="1484192848" name="Imagen 1484192848" descr="AMIJ | Quiénes somo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AMIJ | Quiénes somo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971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F1A92" id="Cuadro de texto 2" o:spid="_x0000_s1027" type="#_x0000_t202" style="position:absolute;margin-left:-27.25pt;margin-top:-24.85pt;width:84pt;height:8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" fillcolor="white [3201]" stroked="f" strokeweight=".5pt">
              <v:textbox>
                <w:txbxContent>
                  <w:p w:rsidR="001A7704" w:rsidRDefault="001A7704" w:rsidP="001A7704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BA8CEA3" wp14:editId="460C2A9E">
                          <wp:extent cx="971550" cy="971550"/>
                          <wp:effectExtent l="0" t="0" r="0" b="0"/>
                          <wp:docPr id="1484192848" name="Imagen 1484192848" descr="AMIJ | Quiénes somo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AMIJ | Quiénes somo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971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A7704" w:rsidRDefault="001A7704" w:rsidP="001A7704">
    <w:pPr>
      <w:pStyle w:val="Encabezado"/>
    </w:pPr>
  </w:p>
  <w:p w:rsidR="001A7704" w:rsidRDefault="001A7704" w:rsidP="001A7704">
    <w:pPr>
      <w:pStyle w:val="Encabezado"/>
    </w:pPr>
  </w:p>
  <w:p w:rsidR="001A7704" w:rsidRDefault="001A770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04" w:rsidRDefault="001A77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57BD"/>
    <w:multiLevelType w:val="hybridMultilevel"/>
    <w:tmpl w:val="4A8682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B9"/>
    <w:rsid w:val="001A7704"/>
    <w:rsid w:val="003721BF"/>
    <w:rsid w:val="0038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A59EF0-5A55-497C-8FEB-701B1946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6B9"/>
    <w:rPr>
      <w:rFonts w:asciiTheme="minorHAnsi" w:hAnsiTheme="minorHAnsi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06B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06B9"/>
    <w:pPr>
      <w:spacing w:after="0" w:line="240" w:lineRule="auto"/>
    </w:pPr>
    <w:rPr>
      <w:rFonts w:asciiTheme="minorHAnsi" w:hAnsi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06B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77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704"/>
    <w:rPr>
      <w:rFonts w:asciiTheme="minorHAnsi" w:hAnsiTheme="minorHAnsi"/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A77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704"/>
    <w:rPr>
      <w:rFonts w:asciiTheme="minorHAnsi" w:hAnsi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tlax.org.mx/wp-content/uploads/2022/11/Sentencia-TET-JDC-063-202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2</cp:revision>
  <dcterms:created xsi:type="dcterms:W3CDTF">2023-06-26T18:56:00Z</dcterms:created>
  <dcterms:modified xsi:type="dcterms:W3CDTF">2023-06-26T19:49:00Z</dcterms:modified>
</cp:coreProperties>
</file>